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3" w:type="dxa"/>
        <w:tblInd w:w="108" w:type="dxa"/>
        <w:tblLook w:val="0000" w:firstRow="0" w:lastRow="0" w:firstColumn="0" w:lastColumn="0" w:noHBand="0" w:noVBand="0"/>
      </w:tblPr>
      <w:tblGrid>
        <w:gridCol w:w="1857"/>
        <w:gridCol w:w="1393"/>
        <w:gridCol w:w="1172"/>
        <w:gridCol w:w="1473"/>
        <w:gridCol w:w="1381"/>
        <w:gridCol w:w="691"/>
        <w:gridCol w:w="1686"/>
      </w:tblGrid>
      <w:tr w:rsidR="00D57FDB" w:rsidRPr="005E727A" w:rsidTr="003D5E84">
        <w:trPr>
          <w:cantSplit/>
          <w:trHeight w:val="242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</w:pPr>
            <w:r w:rsidRPr="005E727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40640</wp:posOffset>
                  </wp:positionV>
                  <wp:extent cx="795020" cy="80645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  <w:rPr>
                <w:lang w:val="id-ID"/>
              </w:rPr>
            </w:pPr>
            <w:r w:rsidRPr="005E727A">
              <w:rPr>
                <w:lang w:val="id-ID"/>
              </w:rPr>
              <w:t>PASCA SARJANA</w:t>
            </w:r>
          </w:p>
          <w:p w:rsidR="00D57FDB" w:rsidRPr="005E727A" w:rsidRDefault="00D57FDB" w:rsidP="005E727A">
            <w:pPr>
              <w:pStyle w:val="Header"/>
              <w:jc w:val="center"/>
              <w:rPr>
                <w:lang w:val="sv-SE"/>
              </w:rPr>
            </w:pPr>
            <w:r w:rsidRPr="005E727A">
              <w:rPr>
                <w:lang w:val="sv-SE"/>
              </w:rPr>
              <w:t>UNIVERSITAS NEGERI YOGYAKARTA</w:t>
            </w:r>
          </w:p>
        </w:tc>
      </w:tr>
      <w:tr w:rsidR="00D57FDB" w:rsidRPr="005E727A" w:rsidTr="003D5E84">
        <w:trPr>
          <w:cantSplit/>
          <w:trHeight w:val="134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  <w:rPr>
                <w:noProof/>
                <w:lang w:val="sv-SE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  <w:rPr>
                <w:b/>
              </w:rPr>
            </w:pPr>
            <w:r w:rsidRPr="005E727A">
              <w:rPr>
                <w:b/>
                <w:lang w:val="fi-FI"/>
              </w:rPr>
              <w:t>PENULISAN KARYA ILMIAH</w:t>
            </w:r>
          </w:p>
        </w:tc>
      </w:tr>
      <w:tr w:rsidR="00D57FDB" w:rsidRPr="005E727A" w:rsidTr="003D5E84">
        <w:trPr>
          <w:cantSplit/>
          <w:trHeight w:val="123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</w:pPr>
            <w:r w:rsidRPr="005E727A">
              <w:t xml:space="preserve">No. </w:t>
            </w:r>
            <w:proofErr w:type="spellStart"/>
            <w:r w:rsidRPr="005E727A">
              <w:t>Dokumen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</w:pPr>
            <w:proofErr w:type="spellStart"/>
            <w:r w:rsidRPr="005E727A">
              <w:t>Revisi</w:t>
            </w:r>
            <w:proofErr w:type="spellEnd"/>
            <w:r w:rsidRPr="005E727A">
              <w:t xml:space="preserve"> : 00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</w:pPr>
            <w:proofErr w:type="spellStart"/>
            <w:r w:rsidRPr="005E727A">
              <w:t>Tgl</w:t>
            </w:r>
            <w:proofErr w:type="spellEnd"/>
            <w:r w:rsidRPr="005E727A">
              <w:t xml:space="preserve">. </w:t>
            </w:r>
            <w:proofErr w:type="spellStart"/>
            <w:r w:rsidRPr="005E727A">
              <w:t>Berlaku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</w:pPr>
            <w:r w:rsidRPr="005E727A">
              <w:t xml:space="preserve">Hal </w:t>
            </w:r>
            <w:r w:rsidRPr="005E727A">
              <w:rPr>
                <w:rStyle w:val="PageNumber"/>
              </w:rPr>
              <w:fldChar w:fldCharType="begin"/>
            </w:r>
            <w:r w:rsidRPr="005E727A">
              <w:rPr>
                <w:rStyle w:val="PageNumber"/>
              </w:rPr>
              <w:instrText xml:space="preserve"> PAGE </w:instrText>
            </w:r>
            <w:r w:rsidRPr="005E727A">
              <w:rPr>
                <w:rStyle w:val="PageNumber"/>
              </w:rPr>
              <w:fldChar w:fldCharType="separate"/>
            </w:r>
            <w:r w:rsidRPr="005E727A">
              <w:rPr>
                <w:rStyle w:val="PageNumber"/>
                <w:noProof/>
              </w:rPr>
              <w:t>1</w:t>
            </w:r>
            <w:r w:rsidRPr="005E727A">
              <w:rPr>
                <w:rStyle w:val="PageNumber"/>
              </w:rPr>
              <w:fldChar w:fldCharType="end"/>
            </w:r>
            <w:r w:rsidRPr="005E727A">
              <w:rPr>
                <w:rStyle w:val="PageNumber"/>
              </w:rPr>
              <w:t xml:space="preserve"> </w:t>
            </w:r>
            <w:proofErr w:type="spellStart"/>
            <w:r w:rsidRPr="005E727A">
              <w:rPr>
                <w:rStyle w:val="PageNumber"/>
              </w:rPr>
              <w:t>dari</w:t>
            </w:r>
            <w:proofErr w:type="spellEnd"/>
            <w:r w:rsidRPr="005E727A">
              <w:rPr>
                <w:rStyle w:val="PageNumber"/>
              </w:rPr>
              <w:t xml:space="preserve"> </w:t>
            </w:r>
            <w:r w:rsidRPr="005E727A">
              <w:rPr>
                <w:rStyle w:val="PageNumber"/>
              </w:rPr>
              <w:fldChar w:fldCharType="begin"/>
            </w:r>
            <w:r w:rsidRPr="005E727A">
              <w:rPr>
                <w:rStyle w:val="PageNumber"/>
              </w:rPr>
              <w:instrText xml:space="preserve"> NUMPAGES </w:instrText>
            </w:r>
            <w:r w:rsidRPr="005E727A">
              <w:rPr>
                <w:rStyle w:val="PageNumber"/>
              </w:rPr>
              <w:fldChar w:fldCharType="separate"/>
            </w:r>
            <w:r w:rsidRPr="005E727A">
              <w:rPr>
                <w:rStyle w:val="PageNumber"/>
                <w:noProof/>
              </w:rPr>
              <w:t>4</w:t>
            </w:r>
            <w:r w:rsidRPr="005E727A">
              <w:rPr>
                <w:rStyle w:val="PageNumber"/>
              </w:rPr>
              <w:fldChar w:fldCharType="end"/>
            </w:r>
          </w:p>
        </w:tc>
      </w:tr>
      <w:tr w:rsidR="00D57FDB" w:rsidRPr="005E727A" w:rsidTr="003D5E84">
        <w:trPr>
          <w:cantSplit/>
          <w:trHeight w:val="238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</w:pPr>
            <w:r w:rsidRPr="005E727A">
              <w:t>Semester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</w:pPr>
            <w:proofErr w:type="spellStart"/>
            <w:r w:rsidRPr="005E727A">
              <w:t>Judul</w:t>
            </w:r>
            <w:proofErr w:type="spellEnd"/>
            <w:r w:rsidRPr="005E727A">
              <w:t xml:space="preserve"> </w:t>
            </w:r>
            <w:proofErr w:type="spellStart"/>
            <w:r w:rsidRPr="005E727A">
              <w:t>Perkuliahan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</w:pPr>
            <w:r w:rsidRPr="005E727A">
              <w:t xml:space="preserve">Jam </w:t>
            </w:r>
            <w:proofErr w:type="spellStart"/>
            <w:r w:rsidRPr="005E727A">
              <w:t>Pertemuan</w:t>
            </w:r>
            <w:proofErr w:type="spellEnd"/>
          </w:p>
        </w:tc>
      </w:tr>
      <w:tr w:rsidR="00D57FDB" w:rsidRPr="005E727A" w:rsidTr="003D5E84">
        <w:trPr>
          <w:cantSplit/>
          <w:trHeight w:val="238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D57FDB" w:rsidP="005E727A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6B7EDE" w:rsidP="005E727A">
            <w:pPr>
              <w:pStyle w:val="Header"/>
              <w:jc w:val="center"/>
            </w:pPr>
            <w:r w:rsidRPr="005E727A">
              <w:t>2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6B7EDE" w:rsidP="005E727A">
            <w:pPr>
              <w:pStyle w:val="Header"/>
              <w:jc w:val="center"/>
            </w:pPr>
            <w:r w:rsidRPr="005E727A">
              <w:t>ANGGARAN PENDIDIKAN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DB" w:rsidRPr="005E727A" w:rsidRDefault="006B7EDE" w:rsidP="005E727A">
            <w:pPr>
              <w:pStyle w:val="Header"/>
              <w:jc w:val="center"/>
            </w:pPr>
            <w:r w:rsidRPr="005E727A">
              <w:t>16</w:t>
            </w:r>
          </w:p>
        </w:tc>
      </w:tr>
    </w:tbl>
    <w:p w:rsidR="00D57FDB" w:rsidRPr="005E727A" w:rsidRDefault="00D57FDB" w:rsidP="005E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E7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7FDB" w:rsidRPr="005E727A" w:rsidRDefault="00D57FDB" w:rsidP="005E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27A">
        <w:rPr>
          <w:rFonts w:ascii="Times New Roman" w:hAnsi="Times New Roman" w:cs="Times New Roman"/>
          <w:b/>
          <w:bCs/>
          <w:sz w:val="24"/>
          <w:szCs w:val="24"/>
        </w:rPr>
        <w:t>SILABUS</w:t>
      </w:r>
    </w:p>
    <w:p w:rsidR="00D57FDB" w:rsidRPr="005E727A" w:rsidRDefault="00D57FDB" w:rsidP="005E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727A">
        <w:rPr>
          <w:rFonts w:ascii="Times New Roman" w:hAnsi="Times New Roman" w:cs="Times New Roman"/>
          <w:b/>
          <w:sz w:val="24"/>
          <w:szCs w:val="24"/>
        </w:rPr>
        <w:t xml:space="preserve">Nama Mata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727A" w:rsidRPr="005E727A">
        <w:rPr>
          <w:rFonts w:ascii="Times New Roman" w:hAnsi="Times New Roman" w:cs="Times New Roman"/>
          <w:sz w:val="24"/>
          <w:szCs w:val="24"/>
          <w:lang w:val="fi-FI"/>
        </w:rPr>
        <w:t>Penganggaran Pendidikan</w:t>
      </w: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14190" w:rsidRPr="005E727A">
        <w:rPr>
          <w:rFonts w:ascii="Times New Roman" w:hAnsi="Times New Roman" w:cs="Times New Roman"/>
          <w:color w:val="000000"/>
          <w:sz w:val="24"/>
          <w:szCs w:val="24"/>
        </w:rPr>
        <w:t>MPE8226</w:t>
      </w: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727A">
        <w:rPr>
          <w:rFonts w:ascii="Times New Roman" w:hAnsi="Times New Roman" w:cs="Times New Roman"/>
          <w:b/>
          <w:sz w:val="24"/>
          <w:szCs w:val="24"/>
        </w:rPr>
        <w:t>SKS</w:t>
      </w:r>
      <w:r w:rsidRPr="005E727A">
        <w:rPr>
          <w:rFonts w:ascii="Times New Roman" w:hAnsi="Times New Roman" w:cs="Times New Roman"/>
          <w:sz w:val="24"/>
          <w:szCs w:val="24"/>
        </w:rPr>
        <w:tab/>
      </w:r>
      <w:r w:rsidRPr="005E727A">
        <w:rPr>
          <w:rFonts w:ascii="Times New Roman" w:hAnsi="Times New Roman" w:cs="Times New Roman"/>
          <w:sz w:val="24"/>
          <w:szCs w:val="24"/>
        </w:rPr>
        <w:tab/>
      </w:r>
      <w:r w:rsidRPr="005E727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14190" w:rsidRPr="005E727A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5E727A">
        <w:rPr>
          <w:rFonts w:ascii="Times New Roman" w:hAnsi="Times New Roman" w:cs="Times New Roman"/>
          <w:sz w:val="24"/>
          <w:szCs w:val="24"/>
          <w:lang w:val="id-ID"/>
        </w:rPr>
        <w:t xml:space="preserve"> SKS</w:t>
      </w:r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r w:rsidRPr="005E72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727A">
        <w:rPr>
          <w:rFonts w:ascii="Times New Roman" w:hAnsi="Times New Roman" w:cs="Times New Roman"/>
          <w:b/>
          <w:sz w:val="24"/>
          <w:szCs w:val="24"/>
          <w:lang w:val="it-IT"/>
        </w:rPr>
        <w:t>Dosen</w:t>
      </w:r>
      <w:r w:rsidRPr="005E727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E727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E727A">
        <w:rPr>
          <w:rFonts w:ascii="Times New Roman" w:hAnsi="Times New Roman" w:cs="Times New Roman"/>
          <w:sz w:val="24"/>
          <w:szCs w:val="24"/>
          <w:lang w:val="it-IT"/>
        </w:rPr>
        <w:tab/>
        <w:t xml:space="preserve">:  </w:t>
      </w:r>
      <w:r w:rsidRPr="005E727A">
        <w:rPr>
          <w:rFonts w:ascii="Times New Roman" w:hAnsi="Times New Roman" w:cs="Times New Roman"/>
          <w:sz w:val="24"/>
          <w:szCs w:val="24"/>
          <w:lang w:val="id-ID"/>
        </w:rPr>
        <w:t>Prof</w:t>
      </w:r>
      <w:r w:rsidR="00C9179E" w:rsidRPr="005E727A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5E727A">
        <w:rPr>
          <w:rFonts w:ascii="Times New Roman" w:hAnsi="Times New Roman" w:cs="Times New Roman"/>
          <w:sz w:val="24"/>
          <w:szCs w:val="24"/>
          <w:lang w:val="id-ID"/>
        </w:rPr>
        <w:t xml:space="preserve"> Sukirno, Ph.D.</w:t>
      </w: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727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ab/>
      </w:r>
      <w:r w:rsidRPr="005E727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E727A" w:rsidRPr="005E727A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5E727A" w:rsidRPr="005E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E727A" w:rsidRPr="005E727A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Prasyarat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ab/>
      </w:r>
      <w:r w:rsidRPr="005E727A">
        <w:rPr>
          <w:rFonts w:ascii="Times New Roman" w:hAnsi="Times New Roman" w:cs="Times New Roman"/>
          <w:sz w:val="24"/>
          <w:szCs w:val="24"/>
        </w:rPr>
        <w:tab/>
      </w:r>
      <w:r w:rsidRPr="005E727A">
        <w:rPr>
          <w:rFonts w:ascii="Times New Roman" w:hAnsi="Times New Roman" w:cs="Times New Roman"/>
          <w:sz w:val="24"/>
          <w:szCs w:val="24"/>
        </w:rPr>
        <w:tab/>
        <w:t>: -</w:t>
      </w: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Perkuliahan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E727A">
        <w:rPr>
          <w:rFonts w:ascii="Times New Roman" w:hAnsi="Times New Roman" w:cs="Times New Roman"/>
          <w:sz w:val="24"/>
          <w:szCs w:val="24"/>
          <w:lang w:val="id-ID"/>
        </w:rPr>
        <w:t>100 menit</w:t>
      </w: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E727A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Pr="005E727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727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727A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814190" w:rsidRPr="005E727A"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r w:rsidRPr="005E727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727A">
        <w:rPr>
          <w:rFonts w:ascii="Times New Roman" w:hAnsi="Times New Roman" w:cs="Times New Roman"/>
          <w:b/>
          <w:sz w:val="24"/>
          <w:szCs w:val="24"/>
        </w:rPr>
        <w:t>:</w:t>
      </w:r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DB" w:rsidRPr="005E727A" w:rsidRDefault="006B7EDE" w:rsidP="003D5E84">
      <w:pPr>
        <w:spacing w:after="0" w:line="240" w:lineRule="auto"/>
        <w:ind w:left="450" w:right="4"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 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 </w:t>
      </w:r>
      <w:r w:rsidRPr="005E72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E727A">
        <w:rPr>
          <w:rFonts w:ascii="Times New Roman" w:hAnsi="Times New Roman" w:cs="Times New Roman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h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 </w:t>
      </w:r>
      <w:r w:rsidRPr="005E72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 </w:t>
      </w:r>
      <w:r w:rsidRPr="005E72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 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 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 </w:t>
      </w:r>
      <w:r w:rsidRPr="005E72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ca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E727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5"/>
          <w:sz w:val="24"/>
          <w:szCs w:val="24"/>
        </w:rPr>
        <w:t>lembaga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E72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E72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E72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E72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up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5E727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-3"/>
          <w:sz w:val="24"/>
          <w:szCs w:val="24"/>
        </w:rPr>
        <w:t>f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.</w:t>
      </w:r>
      <w:r w:rsidRPr="005E72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5E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5E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5E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5E727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5E727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5E72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.</w:t>
      </w:r>
      <w:r w:rsidRPr="005E72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E727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E72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gg</w:t>
      </w:r>
      <w:r w:rsidRPr="005E727A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E727A">
        <w:rPr>
          <w:rFonts w:ascii="Times New Roman" w:hAnsi="Times New Roman" w:cs="Times New Roman"/>
          <w:sz w:val="24"/>
          <w:szCs w:val="24"/>
        </w:rPr>
        <w:t>kup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5E727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,</w:t>
      </w:r>
      <w:r w:rsidRPr="005E72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E72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penganggaran</w:t>
      </w:r>
      <w:proofErr w:type="spellEnd"/>
      <w:r w:rsidRPr="005E72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,</w:t>
      </w:r>
      <w:r w:rsidRPr="005E72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penganggaran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4"/>
          <w:sz w:val="24"/>
          <w:szCs w:val="24"/>
        </w:rPr>
        <w:t>pendidikan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5E727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-3"/>
          <w:sz w:val="24"/>
          <w:szCs w:val="24"/>
        </w:rPr>
        <w:t>f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.</w:t>
      </w:r>
      <w:r w:rsidRPr="005E72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penganggaran</w:t>
      </w:r>
      <w:proofErr w:type="spellEnd"/>
      <w:r w:rsidRPr="005E72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E727A">
        <w:rPr>
          <w:rFonts w:ascii="Times New Roman" w:hAnsi="Times New Roman" w:cs="Times New Roman"/>
          <w:sz w:val="24"/>
          <w:szCs w:val="24"/>
        </w:rPr>
        <w:t>kup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ca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masaran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,</w:t>
      </w:r>
      <w:r w:rsidRPr="005E72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5E727A">
        <w:rPr>
          <w:rFonts w:ascii="Times New Roman" w:hAnsi="Times New Roman" w:cs="Times New Roman"/>
          <w:sz w:val="24"/>
          <w:szCs w:val="24"/>
        </w:rPr>
        <w:t xml:space="preserve">ses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,</w:t>
      </w:r>
      <w:r w:rsidRPr="005E72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72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E72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h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72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5E72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.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5E727A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5E727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duk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5E72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kup</w:t>
      </w:r>
      <w:proofErr w:type="spellEnd"/>
      <w:r w:rsidRPr="005E72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gg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,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z w:val="24"/>
          <w:szCs w:val="24"/>
        </w:rPr>
        <w:t>g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5E727A">
        <w:rPr>
          <w:rFonts w:ascii="Times New Roman" w:hAnsi="Times New Roman" w:cs="Times New Roman"/>
          <w:sz w:val="24"/>
          <w:szCs w:val="24"/>
        </w:rPr>
        <w:t>u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727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72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2"/>
          <w:sz w:val="24"/>
          <w:szCs w:val="24"/>
        </w:rPr>
        <w:t>s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,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E72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5E727A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5E727A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5E727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E727A">
        <w:rPr>
          <w:rFonts w:ascii="Times New Roman" w:hAnsi="Times New Roman" w:cs="Times New Roman"/>
          <w:sz w:val="24"/>
          <w:szCs w:val="24"/>
        </w:rPr>
        <w:t>e</w:t>
      </w:r>
      <w:r w:rsidRPr="005E72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5E727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727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5E727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="000106E9" w:rsidRPr="005E72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pacing w:val="-1"/>
          <w:sz w:val="24"/>
          <w:szCs w:val="24"/>
        </w:rPr>
        <w:t>dalam</w:t>
      </w:r>
      <w:proofErr w:type="spellEnd"/>
      <w:r w:rsidR="000106E9" w:rsidRPr="005E72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pacing w:val="-1"/>
          <w:sz w:val="24"/>
          <w:szCs w:val="24"/>
        </w:rPr>
        <w:t>lembaga</w:t>
      </w:r>
      <w:proofErr w:type="spellEnd"/>
      <w:r w:rsidR="000106E9" w:rsidRPr="005E72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pacing w:val="-1"/>
          <w:sz w:val="24"/>
          <w:szCs w:val="24"/>
        </w:rPr>
        <w:t>pendidikan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>.</w:t>
      </w:r>
    </w:p>
    <w:p w:rsidR="00D57FDB" w:rsidRPr="005E727A" w:rsidRDefault="00D57FDB" w:rsidP="005E727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ab/>
        <w:t>:</w:t>
      </w:r>
    </w:p>
    <w:p w:rsidR="00D57FDB" w:rsidRPr="005E727A" w:rsidRDefault="00D57FDB" w:rsidP="005E727A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E727A">
        <w:rPr>
          <w:rFonts w:ascii="Times New Roman" w:hAnsi="Times New Roman" w:cs="Times New Roman"/>
          <w:sz w:val="24"/>
          <w:szCs w:val="24"/>
          <w:lang w:val="fi-FI"/>
        </w:rPr>
        <w:t xml:space="preserve">Mata kuliah ini merupakan salah satu mata kuliah wajib yang mendukung kemampuan akademik mahasiswa secara </w:t>
      </w:r>
      <w:r w:rsidR="006B7EDE" w:rsidRPr="005E727A">
        <w:rPr>
          <w:rFonts w:ascii="Times New Roman" w:hAnsi="Times New Roman" w:cs="Times New Roman"/>
          <w:sz w:val="24"/>
          <w:szCs w:val="24"/>
          <w:lang w:val="fi-FI"/>
        </w:rPr>
        <w:t xml:space="preserve">spesifik dalam menyusun anggaran pendidikan dan secara </w:t>
      </w:r>
      <w:r w:rsidRPr="005E727A">
        <w:rPr>
          <w:rFonts w:ascii="Times New Roman" w:hAnsi="Times New Roman" w:cs="Times New Roman"/>
          <w:sz w:val="24"/>
          <w:szCs w:val="24"/>
          <w:lang w:val="fi-FI"/>
        </w:rPr>
        <w:t xml:space="preserve">umum dalam membuat </w:t>
      </w:r>
      <w:r w:rsidR="006B7EDE" w:rsidRPr="005E727A">
        <w:rPr>
          <w:rFonts w:ascii="Times New Roman" w:hAnsi="Times New Roman" w:cs="Times New Roman"/>
          <w:sz w:val="24"/>
          <w:szCs w:val="24"/>
          <w:lang w:val="fi-FI"/>
        </w:rPr>
        <w:t>p</w:t>
      </w:r>
      <w:proofErr w:type="spellStart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>enelitian</w:t>
      </w:r>
      <w:proofErr w:type="spellEnd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727A">
        <w:rPr>
          <w:rFonts w:ascii="Times New Roman" w:hAnsi="Times New Roman" w:cs="Times New Roman"/>
          <w:sz w:val="24"/>
          <w:szCs w:val="24"/>
          <w:lang w:val="id-ID"/>
        </w:rPr>
        <w:t>karya ilmiah publikasi dalam jurnal nasional dan jurnal internasional</w:t>
      </w:r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>penganggaran</w:t>
      </w:r>
      <w:proofErr w:type="spellEnd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DE" w:rsidRPr="005E727A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5E727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D57FDB" w:rsidRPr="005E727A" w:rsidRDefault="00D57FDB" w:rsidP="005E72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</w:p>
    <w:p w:rsidR="00D57FDB" w:rsidRPr="005E727A" w:rsidRDefault="00D57FDB" w:rsidP="005E727A">
      <w:pPr>
        <w:pStyle w:val="ListParagraph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2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7FDB" w:rsidRPr="005E727A" w:rsidRDefault="00D57FDB" w:rsidP="005E72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r w:rsidR="000106E9" w:rsidRPr="005E727A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57FDB" w:rsidRPr="005E727A" w:rsidRDefault="00D57FDB" w:rsidP="005E72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57FDB" w:rsidRPr="005E727A" w:rsidRDefault="00D57FDB" w:rsidP="005E72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  <w:lang w:val="en-ID"/>
        </w:rPr>
        <w:t>anggaran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</w:p>
    <w:p w:rsidR="00D57FDB" w:rsidRPr="005E727A" w:rsidRDefault="00D57FDB" w:rsidP="005E72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7A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ampu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sz w:val="24"/>
          <w:szCs w:val="24"/>
        </w:rPr>
        <w:t>nonpenelitian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0106E9" w:rsidRPr="005E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E9" w:rsidRPr="005E727A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E727A" w:rsidRDefault="005E72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FDB" w:rsidRPr="005E727A" w:rsidRDefault="00D57FDB" w:rsidP="005E727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7FDB" w:rsidRPr="005E727A" w:rsidRDefault="00D57FDB" w:rsidP="005E72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Uraian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Bahasan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Tiap</w:t>
      </w:r>
      <w:proofErr w:type="spellEnd"/>
      <w:r w:rsidRPr="005E7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27A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</w:p>
    <w:p w:rsidR="000A5A26" w:rsidRPr="005E727A" w:rsidRDefault="000A5A26" w:rsidP="005E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2410"/>
        <w:gridCol w:w="1423"/>
        <w:gridCol w:w="2125"/>
        <w:gridCol w:w="1137"/>
      </w:tblGrid>
      <w:tr w:rsidR="005B239C" w:rsidRPr="00027E6D" w:rsidTr="00373116">
        <w:trPr>
          <w:trHeight w:val="568"/>
        </w:trPr>
        <w:tc>
          <w:tcPr>
            <w:tcW w:w="562" w:type="dxa"/>
            <w:shd w:val="clear" w:color="auto" w:fill="B6DDE8"/>
            <w:vAlign w:val="center"/>
          </w:tcPr>
          <w:p w:rsidR="005B239C" w:rsidRPr="00027E6D" w:rsidRDefault="005B239C" w:rsidP="005B239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D" w:eastAsia="id-ID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br w:type="page"/>
            </w:r>
            <w:proofErr w:type="spellStart"/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en-ID"/>
              </w:rPr>
              <w:t>Sesi</w:t>
            </w:r>
            <w:proofErr w:type="spellEnd"/>
          </w:p>
        </w:tc>
        <w:tc>
          <w:tcPr>
            <w:tcW w:w="2835" w:type="dxa"/>
            <w:shd w:val="clear" w:color="auto" w:fill="B6DDE8"/>
            <w:vAlign w:val="center"/>
          </w:tcPr>
          <w:p w:rsidR="005B239C" w:rsidRPr="00027E6D" w:rsidRDefault="005B239C" w:rsidP="005B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/>
                <w:bCs/>
                <w:sz w:val="20"/>
                <w:lang w:eastAsia="id-ID"/>
              </w:rPr>
              <w:t>CP-M</w:t>
            </w:r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  <w:t>ateri</w:t>
            </w:r>
          </w:p>
          <w:p w:rsidR="005B239C" w:rsidRPr="00027E6D" w:rsidRDefault="005B239C" w:rsidP="005B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5B239C" w:rsidRPr="00027E6D" w:rsidRDefault="005B239C" w:rsidP="005B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  <w:t>Materi Pembelajaran</w:t>
            </w:r>
          </w:p>
        </w:tc>
        <w:tc>
          <w:tcPr>
            <w:tcW w:w="1423" w:type="dxa"/>
            <w:shd w:val="clear" w:color="auto" w:fill="B6DDE8"/>
            <w:vAlign w:val="center"/>
          </w:tcPr>
          <w:p w:rsidR="005B239C" w:rsidRPr="00027E6D" w:rsidRDefault="005B239C" w:rsidP="005B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  <w:t>Metode</w:t>
            </w:r>
            <w:r w:rsidRPr="00027E6D">
              <w:rPr>
                <w:rFonts w:ascii="Times New Roman" w:hAnsi="Times New Roman" w:cs="Times New Roman"/>
                <w:b/>
                <w:bCs/>
                <w:sz w:val="20"/>
                <w:lang w:eastAsia="id-ID"/>
              </w:rPr>
              <w:t xml:space="preserve"> / </w:t>
            </w:r>
            <w:proofErr w:type="spellStart"/>
            <w:r w:rsidRPr="00027E6D">
              <w:rPr>
                <w:rFonts w:ascii="Times New Roman" w:hAnsi="Times New Roman" w:cs="Times New Roman"/>
                <w:b/>
                <w:bCs/>
                <w:sz w:val="20"/>
                <w:lang w:eastAsia="id-ID"/>
              </w:rPr>
              <w:t>Strategi</w:t>
            </w:r>
            <w:proofErr w:type="spellEnd"/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  <w:t xml:space="preserve"> Pembelajaran</w:t>
            </w:r>
          </w:p>
        </w:tc>
        <w:tc>
          <w:tcPr>
            <w:tcW w:w="2125" w:type="dxa"/>
            <w:shd w:val="clear" w:color="auto" w:fill="B6DDE8"/>
            <w:vAlign w:val="center"/>
          </w:tcPr>
          <w:p w:rsidR="005B239C" w:rsidRPr="00027E6D" w:rsidRDefault="005B239C" w:rsidP="005B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</w:pPr>
            <w:proofErr w:type="spellStart"/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en-ID" w:eastAsia="id-ID"/>
              </w:rPr>
              <w:t>Sumber</w:t>
            </w:r>
            <w:proofErr w:type="spellEnd"/>
          </w:p>
        </w:tc>
        <w:tc>
          <w:tcPr>
            <w:tcW w:w="1137" w:type="dxa"/>
            <w:shd w:val="clear" w:color="auto" w:fill="B6DDE8"/>
            <w:vAlign w:val="center"/>
          </w:tcPr>
          <w:p w:rsidR="005B239C" w:rsidRPr="00027E6D" w:rsidRDefault="005B239C" w:rsidP="005B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  <w:t>Bentuk</w:t>
            </w:r>
          </w:p>
        </w:tc>
      </w:tr>
      <w:tr w:rsidR="00B21764" w:rsidRPr="00027E6D" w:rsidTr="00373116">
        <w:tc>
          <w:tcPr>
            <w:tcW w:w="562" w:type="dxa"/>
            <w:shd w:val="clear" w:color="auto" w:fill="auto"/>
          </w:tcPr>
          <w:p w:rsidR="00027E6D" w:rsidRPr="00027E6D" w:rsidRDefault="00027E6D" w:rsidP="000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7E6D" w:rsidRPr="00791B08" w:rsidRDefault="00027E6D" w:rsidP="00C043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memahami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keterkaitan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materi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dalam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mata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kuliah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ini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menemukan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keterkaitan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mata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kuliah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dengan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mata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kuliah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sebelumnya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>serta</w:t>
            </w:r>
            <w:proofErr w:type="spellEnd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>memahami</w:t>
            </w:r>
            <w:proofErr w:type="spellEnd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>sumber</w:t>
            </w:r>
            <w:proofErr w:type="spellEnd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>pendanaan</w:t>
            </w:r>
            <w:proofErr w:type="spellEnd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04307" w:rsidRPr="00791B08"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27E6D" w:rsidRPr="00027E6D" w:rsidRDefault="00027E6D" w:rsidP="00027E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27E6D">
              <w:rPr>
                <w:rFonts w:ascii="Times New Roman" w:hAnsi="Times New Roman" w:cs="Times New Roman"/>
                <w:sz w:val="20"/>
              </w:rPr>
              <w:t xml:space="preserve">Syllabus 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proofErr w:type="gramEnd"/>
            <w:r w:rsidRPr="00027E6D">
              <w:rPr>
                <w:rFonts w:ascii="Times New Roman" w:hAnsi="Times New Roman" w:cs="Times New Roman"/>
                <w:sz w:val="20"/>
              </w:rPr>
              <w:t xml:space="preserve"> How is Higher Education Funded? </w:t>
            </w:r>
          </w:p>
        </w:tc>
        <w:tc>
          <w:tcPr>
            <w:tcW w:w="1423" w:type="dxa"/>
            <w:shd w:val="clear" w:color="auto" w:fill="auto"/>
          </w:tcPr>
          <w:p w:rsidR="00027E6D" w:rsidRPr="00027E6D" w:rsidRDefault="00027E6D" w:rsidP="00027E6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v-SE"/>
              </w:rPr>
            </w:pPr>
            <w:r w:rsidRPr="00027E6D">
              <w:rPr>
                <w:rFonts w:ascii="Times New Roman" w:hAnsi="Times New Roman" w:cs="Times New Roman"/>
                <w:sz w:val="20"/>
                <w:lang w:val="sv-SE"/>
              </w:rPr>
              <w:t>Penjelasan rencana pembelajaran, sistem penilaian</w:t>
            </w:r>
          </w:p>
        </w:tc>
        <w:tc>
          <w:tcPr>
            <w:tcW w:w="2125" w:type="dxa"/>
            <w:shd w:val="clear" w:color="auto" w:fill="auto"/>
          </w:tcPr>
          <w:p w:rsidR="00027E6D" w:rsidRPr="00027E6D" w:rsidRDefault="00027E6D" w:rsidP="00027E6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>The National Association Of State Budget Officers: A Guidebook On State Budgeting For Higher Education</w:t>
            </w:r>
            <w:r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027E6D" w:rsidRPr="00027E6D" w:rsidRDefault="00027E6D" w:rsidP="00027E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en-ID" w:eastAsia="id-ID"/>
              </w:rPr>
            </w:pPr>
            <w:proofErr w:type="spellStart"/>
            <w:r w:rsidRPr="00027E6D">
              <w:rPr>
                <w:rFonts w:ascii="Times New Roman" w:hAnsi="Times New Roman" w:cs="Times New Roman"/>
                <w:bCs/>
                <w:sz w:val="20"/>
                <w:lang w:val="en-ID" w:eastAsia="id-ID"/>
              </w:rPr>
              <w:t>Diskusi</w:t>
            </w:r>
            <w:proofErr w:type="spellEnd"/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memahami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pembelanjaan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pemerintah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secara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umum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pengaruh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struktur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pemerintahan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pada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How Are Higher Education Dollars Spent? &amp; State-L</w:t>
            </w:r>
            <w:r>
              <w:rPr>
                <w:rFonts w:ascii="Times New Roman" w:hAnsi="Times New Roman" w:cs="Times New Roman"/>
                <w:sz w:val="20"/>
              </w:rPr>
              <w:t>evel Governance and Budgeting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>The National Association Of State Budget Officers: A Guidebook On State Budgeting For Higher Education</w:t>
            </w:r>
            <w:r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membuat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menjelaskan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berbasis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stuktur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pemerintahan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pembiayaan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untuk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mencapai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tujuan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Institution-Level Governance and Budgeting</w:t>
            </w:r>
            <w:r>
              <w:rPr>
                <w:rFonts w:ascii="Times New Roman" w:hAnsi="Times New Roman" w:cs="Times New Roman"/>
                <w:sz w:val="20"/>
              </w:rPr>
              <w:t xml:space="preserve"> &amp;</w:t>
            </w:r>
            <w:r w:rsidRPr="00027E6D">
              <w:rPr>
                <w:rFonts w:ascii="Times New Roman" w:hAnsi="Times New Roman" w:cs="Times New Roman"/>
                <w:sz w:val="20"/>
              </w:rPr>
              <w:t xml:space="preserve"> Know Where You’re Going: Setting Goals for Higher Ed</w:t>
            </w:r>
            <w:r>
              <w:rPr>
                <w:rFonts w:ascii="Times New Roman" w:hAnsi="Times New Roman" w:cs="Times New Roman"/>
                <w:sz w:val="20"/>
              </w:rPr>
              <w:t>ucation Expenditures to Goals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>The National Association Of State Budget Officers: A Guidebook On State Budgeting For Higher Education</w:t>
            </w:r>
            <w:r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menjabarkan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Perundang-undangan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kebijakan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dalam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Beyond the State Budget Act: Identifying Policy Leverage Points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>The National Association Of State Budget Officers: A Guidebook On State Budgeting For Higher Education</w:t>
            </w:r>
            <w:r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memahami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visi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standar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nasional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serta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keterkaitannya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The Budget–Vision Relationship and the National Standards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 xml:space="preserve">Richard D. Sorenson and Lloyd M. Goldsmith: The Principal’s Guide to School Budgeting. Third Edition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memahami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cara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integrasi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kultur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, data,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konflik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resolusi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serta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kesuksesan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dalam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Culture, Data, Conflict Resolution, and Celebrating Success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 xml:space="preserve">Richard D. Sorenson and Lloyd M. Goldsmith: The Principal’s Guide to School Budgeting. Third Edition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memahami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pemodelan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integrasi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visi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,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misi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,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perencanaan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A Model for Integrating Vision, Planning, and Budgeting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 xml:space="preserve">Richard D. Sorenson and Lloyd M. Goldsmith: The Principal’s Guide to School Budgeting. Third Edition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FFE599"/>
          </w:tcPr>
          <w:p w:rsidR="007855FD" w:rsidRPr="00027E6D" w:rsidRDefault="007855FD" w:rsidP="007855FD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  <w:t>8</w:t>
            </w:r>
          </w:p>
        </w:tc>
        <w:tc>
          <w:tcPr>
            <w:tcW w:w="9930" w:type="dxa"/>
            <w:gridSpan w:val="5"/>
            <w:shd w:val="clear" w:color="auto" w:fill="FFE599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/>
                <w:bCs/>
                <w:sz w:val="20"/>
                <w:lang w:val="id-ID" w:eastAsia="id-ID"/>
              </w:rPr>
              <w:t>Evaluasi Tengah Semester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memahami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pengukuran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efektivitas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,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efisiensi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dan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esensi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praktik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Effective, Efficient, and Essential Budgeting Practices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 xml:space="preserve">Richard D. Sorenson and Lloyd M. Goldsmith: The Principal’s Guide to School Budgeting. Third Edition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7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sv-SE"/>
              </w:rPr>
            </w:pPr>
            <w:r w:rsidRPr="00791B08">
              <w:rPr>
                <w:rFonts w:ascii="Times New Roman" w:hAnsi="Times New Roman" w:cs="Times New Roman"/>
                <w:color w:val="FF0000"/>
                <w:sz w:val="20"/>
                <w:lang w:val="sv-SE"/>
              </w:rPr>
              <w:t xml:space="preserve">Mahasiswa mampu </w:t>
            </w:r>
            <w:r w:rsidR="00CD6EEF">
              <w:rPr>
                <w:rFonts w:ascii="Times New Roman" w:hAnsi="Times New Roman" w:cs="Times New Roman"/>
                <w:color w:val="FF0000"/>
                <w:sz w:val="20"/>
                <w:lang w:val="sv-SE"/>
              </w:rPr>
              <w:t>memahami proses penyusunan penganggaran di sekolah</w:t>
            </w:r>
            <w:r w:rsidRPr="00791B08">
              <w:rPr>
                <w:rFonts w:ascii="Times New Roman" w:hAnsi="Times New Roman" w:cs="Times New Roman"/>
                <w:color w:val="FF0000"/>
                <w:sz w:val="20"/>
                <w:lang w:val="sv-SE"/>
              </w:rPr>
              <w:t xml:space="preserve"> </w:t>
            </w:r>
          </w:p>
          <w:p w:rsidR="007855FD" w:rsidRPr="00791B08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sv-SE"/>
              </w:rPr>
            </w:pPr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Understanding the Budgeting Process 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27E6D">
              <w:rPr>
                <w:rFonts w:ascii="Times New Roman" w:hAnsi="Times New Roman" w:cs="Times New Roman"/>
                <w:sz w:val="20"/>
              </w:rPr>
              <w:t>Building the School Budget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>Richard D. Sorenson and Lloyd M. Goldsmith: The Principal’s Guide to School Budgeting. Third Edition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27E6D">
              <w:rPr>
                <w:rFonts w:ascii="Times New Roman" w:hAnsi="Times New Roman" w:cs="Times New Roman"/>
                <w:sz w:val="20"/>
              </w:rPr>
              <w:t>Steve O. Michael</w:t>
            </w:r>
          </w:p>
          <w:p w:rsidR="007855FD" w:rsidRPr="00027E6D" w:rsidRDefault="007855FD" w:rsidP="007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and Mark A.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Kretovics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>: Financing</w:t>
            </w:r>
          </w:p>
          <w:p w:rsidR="007855FD" w:rsidRPr="00027E6D" w:rsidRDefault="007855FD" w:rsidP="007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Higher Education</w:t>
            </w:r>
          </w:p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v-SE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In A Global Market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relavan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7855FD" w:rsidRPr="00027E6D" w:rsidTr="00373116">
        <w:tc>
          <w:tcPr>
            <w:tcW w:w="562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855FD" w:rsidRPr="00791B08" w:rsidRDefault="007855FD" w:rsidP="007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menjelaskan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seluk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beluk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  <w:r w:rsidR="00CD6EEF">
              <w:rPr>
                <w:rFonts w:ascii="Times New Roman" w:hAnsi="Times New Roman" w:cs="Times New Roman"/>
                <w:color w:val="FF0000"/>
                <w:sz w:val="20"/>
              </w:rPr>
              <w:t xml:space="preserve"> di Indonesia</w:t>
            </w:r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7855FD" w:rsidRPr="00791B08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Educational Financing in Indonesia</w:t>
            </w:r>
          </w:p>
        </w:tc>
        <w:tc>
          <w:tcPr>
            <w:tcW w:w="1423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  <w:r w:rsidRPr="00027E6D">
              <w:rPr>
                <w:rFonts w:ascii="Times New Roman" w:hAnsi="Times New Roman" w:cs="Times New Roman"/>
                <w:sz w:val="20"/>
                <w:lang w:val="fi-FI"/>
              </w:rPr>
              <w:t>Reviews of National Policies for Education Education in Indonesia Rising to the Challenge</w:t>
            </w:r>
            <w:r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7855FD" w:rsidRPr="00027E6D" w:rsidRDefault="007855FD" w:rsidP="00785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CD6EEF" w:rsidRPr="00027E6D" w:rsidTr="00373116">
        <w:tc>
          <w:tcPr>
            <w:tcW w:w="562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D6EEF" w:rsidRPr="00791B08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seluk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beluk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konteks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global</w:t>
            </w:r>
          </w:p>
          <w:p w:rsidR="00CD6EEF" w:rsidRPr="00791B08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Financing Higher Education In A Global M</w:t>
            </w:r>
            <w:r>
              <w:rPr>
                <w:rFonts w:ascii="Times New Roman" w:hAnsi="Times New Roman" w:cs="Times New Roman"/>
                <w:sz w:val="20"/>
              </w:rPr>
              <w:t xml:space="preserve">arket: A Contextual Background </w:t>
            </w:r>
          </w:p>
        </w:tc>
        <w:tc>
          <w:tcPr>
            <w:tcW w:w="1423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Steve O. Michael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and Mark A.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Kretovics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>: Financing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Higher Education</w:t>
            </w:r>
          </w:p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v-SE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In A Global Market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CD6EEF" w:rsidRPr="00027E6D" w:rsidTr="00373116">
        <w:tc>
          <w:tcPr>
            <w:tcW w:w="562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13 </w:t>
            </w:r>
          </w:p>
          <w:p w:rsidR="00CD6EEF" w:rsidRPr="00027E6D" w:rsidRDefault="00CD6EEF" w:rsidP="00CD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D6EEF" w:rsidRPr="00791B08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seluk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beluk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Kanada</w:t>
            </w:r>
            <w:proofErr w:type="spellEnd"/>
          </w:p>
          <w:p w:rsidR="00CD6EEF" w:rsidRPr="00791B08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Financing Higher Education In The U.S.A: Strategies For The 21st Century &amp; Financing Higher Education In Canada</w:t>
            </w:r>
          </w:p>
        </w:tc>
        <w:tc>
          <w:tcPr>
            <w:tcW w:w="1423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27E6D">
              <w:rPr>
                <w:rFonts w:ascii="Times New Roman" w:hAnsi="Times New Roman" w:cs="Times New Roman"/>
                <w:sz w:val="20"/>
                <w:lang w:val="it-IT"/>
              </w:rPr>
              <w:t>Collaborative Learning, Presentasi dan diskusi</w:t>
            </w:r>
          </w:p>
        </w:tc>
        <w:tc>
          <w:tcPr>
            <w:tcW w:w="2125" w:type="dxa"/>
            <w:shd w:val="clear" w:color="auto" w:fill="auto"/>
          </w:tcPr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Steve O. Michael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and Mark A.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Kretovics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>: Financing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Higher Education</w:t>
            </w:r>
          </w:p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v-SE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In A Global Market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CD6EEF" w:rsidRPr="00027E6D" w:rsidTr="00373116">
        <w:tc>
          <w:tcPr>
            <w:tcW w:w="562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D6EEF" w:rsidRPr="00791B08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seluk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beluk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Spanyol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CD6EEF" w:rsidRPr="00791B08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Great Expectations And Declining Resources: Financing Higher Education In Mexico &amp; Higher Education Policy And Finance In Spain</w:t>
            </w:r>
          </w:p>
        </w:tc>
        <w:tc>
          <w:tcPr>
            <w:tcW w:w="1423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s-ES"/>
              </w:rPr>
            </w:pPr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Contextual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Instruction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,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Presentasi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 dan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diskusi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Steve O. Michael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and Mark A.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Kretovics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>: Financing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Higher Education</w:t>
            </w:r>
          </w:p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v-SE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In A Global Market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CD6EEF" w:rsidRPr="00027E6D" w:rsidTr="00373116">
        <w:tc>
          <w:tcPr>
            <w:tcW w:w="562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15 </w:t>
            </w:r>
          </w:p>
          <w:p w:rsidR="00CD6EEF" w:rsidRPr="00027E6D" w:rsidRDefault="00CD6EEF" w:rsidP="00CD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D6EEF" w:rsidRPr="00791B08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seluk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beluk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Afrika</w:t>
            </w:r>
            <w:proofErr w:type="spellEnd"/>
          </w:p>
          <w:p w:rsidR="00CD6EEF" w:rsidRPr="00791B08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Financing Higher Education In Austria And Future Challenges &amp; Financing Higher Education In South Africa And Future Challenges</w:t>
            </w:r>
          </w:p>
        </w:tc>
        <w:tc>
          <w:tcPr>
            <w:tcW w:w="1423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s-ES"/>
              </w:rPr>
            </w:pPr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Contextual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Instruction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,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Presentasi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 dan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diskusi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Steve O. Michael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and Mark A.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Kretovics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>: Financing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Higher Education</w:t>
            </w:r>
          </w:p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v-SE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In A Global Market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  <w:tr w:rsidR="00CD6EEF" w:rsidRPr="00027E6D" w:rsidTr="00373116">
        <w:tc>
          <w:tcPr>
            <w:tcW w:w="562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CD6EEF" w:rsidRPr="00791B08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Mahasiswa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>mampu</w:t>
            </w:r>
            <w:proofErr w:type="spellEnd"/>
            <w:r w:rsidRPr="00791B0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seluk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beluk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penganggaran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di Thailand</w:t>
            </w:r>
          </w:p>
          <w:p w:rsidR="00CD6EEF" w:rsidRPr="00791B08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Financing Higher Education In India &amp; Financing Higher Education In Thailand</w:t>
            </w:r>
          </w:p>
        </w:tc>
        <w:tc>
          <w:tcPr>
            <w:tcW w:w="1423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s-ES"/>
              </w:rPr>
            </w:pPr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Contextual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Instruction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,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Presentasi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 xml:space="preserve"> dan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  <w:lang w:val="es-ES"/>
              </w:rPr>
              <w:t>diskusi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Steve O. Michael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and Mark A.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Kretovics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>: Financing</w:t>
            </w:r>
          </w:p>
          <w:p w:rsidR="00CD6EEF" w:rsidRPr="00027E6D" w:rsidRDefault="00CD6EEF" w:rsidP="00CD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>Higher Education</w:t>
            </w:r>
          </w:p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v-SE"/>
              </w:rPr>
            </w:pPr>
            <w:r w:rsidRPr="00027E6D">
              <w:rPr>
                <w:rFonts w:ascii="Times New Roman" w:hAnsi="Times New Roman" w:cs="Times New Roman"/>
                <w:sz w:val="20"/>
              </w:rPr>
              <w:t xml:space="preserve">In A Global Market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27E6D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27E6D">
              <w:rPr>
                <w:rFonts w:ascii="Times New Roman" w:hAnsi="Times New Roman" w:cs="Times New Roman"/>
                <w:sz w:val="20"/>
              </w:rPr>
              <w:t>rel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027E6D">
              <w:rPr>
                <w:rFonts w:ascii="Times New Roman" w:hAnsi="Times New Roman" w:cs="Times New Roman"/>
                <w:sz w:val="20"/>
              </w:rPr>
              <w:t>van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CD6EEF" w:rsidRPr="00027E6D" w:rsidRDefault="00CD6EEF" w:rsidP="00CD6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</w:pPr>
            <w:r w:rsidRPr="00027E6D">
              <w:rPr>
                <w:rFonts w:ascii="Times New Roman" w:hAnsi="Times New Roman" w:cs="Times New Roman"/>
                <w:bCs/>
                <w:sz w:val="20"/>
                <w:lang w:val="id-ID" w:eastAsia="id-ID"/>
              </w:rPr>
              <w:t>Presentasi</w:t>
            </w:r>
          </w:p>
        </w:tc>
      </w:tr>
    </w:tbl>
    <w:p w:rsidR="007C7E38" w:rsidRDefault="007C7E38" w:rsidP="007C7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064" w:rsidRDefault="00AE0064" w:rsidP="003D5E8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E84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3D5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E8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</w:p>
    <w:p w:rsidR="003D5E84" w:rsidRPr="003D5E84" w:rsidRDefault="003D5E84" w:rsidP="003D5E8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064" w:rsidRDefault="00AE0064" w:rsidP="005E727A">
      <w:pPr>
        <w:pStyle w:val="NormalWeb"/>
        <w:spacing w:before="0" w:beforeAutospacing="0" w:after="0" w:afterAutospacing="0"/>
      </w:pPr>
      <w:r w:rsidRPr="005E727A">
        <w:t xml:space="preserve">(diunduh dari </w:t>
      </w:r>
      <w:r w:rsidR="003D5E84">
        <w:fldChar w:fldCharType="begin"/>
      </w:r>
      <w:r w:rsidR="003D5E84">
        <w:instrText xml:space="preserve"> HYPERLINK "</w:instrText>
      </w:r>
      <w:r w:rsidR="003D5E84" w:rsidRPr="005E727A">
        <w:instrText>http://blog.uny.ac.id/sukirno/vclass/master-degree/managerial-accounting/</w:instrText>
      </w:r>
      <w:r w:rsidR="003D5E84">
        <w:instrText xml:space="preserve">" </w:instrText>
      </w:r>
      <w:r w:rsidR="003D5E84">
        <w:fldChar w:fldCharType="separate"/>
      </w:r>
      <w:r w:rsidR="003D5E84" w:rsidRPr="00A00330">
        <w:rPr>
          <w:rStyle w:val="Hyperlink"/>
        </w:rPr>
        <w:t>http://blog.uny.ac.id/sukirno/vclass/master-degree/</w:t>
      </w:r>
      <w:r w:rsidR="003D5E84">
        <w:fldChar w:fldCharType="end"/>
      </w:r>
      <w:r w:rsidR="003D5E84">
        <w:rPr>
          <w:lang w:val="en-ID"/>
        </w:rPr>
        <w:t>educational-budgeting</w:t>
      </w:r>
      <w:r w:rsidRPr="005E727A">
        <w:t>)</w:t>
      </w:r>
    </w:p>
    <w:p w:rsidR="00AE0064" w:rsidRPr="005E727A" w:rsidRDefault="00AE0064" w:rsidP="005E727A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val="id-ID"/>
        </w:rPr>
      </w:pPr>
    </w:p>
    <w:p w:rsidR="00AE0064" w:rsidRPr="003D5E84" w:rsidRDefault="003D5E84" w:rsidP="003D5E8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3D5E84">
        <w:rPr>
          <w:rFonts w:ascii="Times New Roman" w:eastAsia="Arial Narrow" w:hAnsi="Times New Roman" w:cs="Times New Roman"/>
          <w:b/>
          <w:sz w:val="24"/>
          <w:szCs w:val="24"/>
        </w:rPr>
        <w:t>Komponen</w:t>
      </w:r>
      <w:proofErr w:type="spellEnd"/>
      <w:r w:rsidRPr="003D5E84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proofErr w:type="spellStart"/>
      <w:r w:rsidRPr="003D5E84">
        <w:rPr>
          <w:rFonts w:ascii="Times New Roman" w:eastAsia="Arial Narrow" w:hAnsi="Times New Roman" w:cs="Times New Roman"/>
          <w:b/>
          <w:sz w:val="24"/>
          <w:szCs w:val="24"/>
        </w:rPr>
        <w:t>Penilaian</w:t>
      </w:r>
      <w:proofErr w:type="spellEnd"/>
    </w:p>
    <w:p w:rsidR="003D5E84" w:rsidRPr="003D5E84" w:rsidRDefault="003D5E84" w:rsidP="003D5E84">
      <w:pPr>
        <w:pStyle w:val="ListParagraph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W w:w="94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4973"/>
        <w:gridCol w:w="2572"/>
      </w:tblGrid>
      <w:tr w:rsidR="00AE0064" w:rsidRPr="005E727A" w:rsidTr="00E601F3">
        <w:trPr>
          <w:trHeight w:val="216"/>
        </w:trPr>
        <w:tc>
          <w:tcPr>
            <w:tcW w:w="1929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73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Komponen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572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Bobot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E0064" w:rsidRPr="005E727A" w:rsidTr="00E601F3">
        <w:trPr>
          <w:trHeight w:val="216"/>
        </w:trPr>
        <w:tc>
          <w:tcPr>
            <w:tcW w:w="1929" w:type="dxa"/>
          </w:tcPr>
          <w:p w:rsidR="00AE0064" w:rsidRPr="005E727A" w:rsidRDefault="00AE0064" w:rsidP="005E72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E0064" w:rsidRPr="005E727A" w:rsidRDefault="00AE0064" w:rsidP="005E727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Partisipasi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572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15%</w:t>
            </w:r>
          </w:p>
        </w:tc>
      </w:tr>
      <w:tr w:rsidR="00AE0064" w:rsidRPr="005E727A" w:rsidTr="00E601F3">
        <w:trPr>
          <w:trHeight w:val="216"/>
        </w:trPr>
        <w:tc>
          <w:tcPr>
            <w:tcW w:w="1929" w:type="dxa"/>
          </w:tcPr>
          <w:p w:rsidR="00AE0064" w:rsidRPr="005E727A" w:rsidRDefault="00AE0064" w:rsidP="005E72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E0064" w:rsidRPr="005E727A" w:rsidRDefault="00AE0064" w:rsidP="005E727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Presentasi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15%</w:t>
            </w:r>
          </w:p>
        </w:tc>
      </w:tr>
      <w:tr w:rsidR="00AE0064" w:rsidRPr="005E727A" w:rsidTr="00E601F3">
        <w:trPr>
          <w:trHeight w:val="433"/>
        </w:trPr>
        <w:tc>
          <w:tcPr>
            <w:tcW w:w="1929" w:type="dxa"/>
          </w:tcPr>
          <w:p w:rsidR="00AE0064" w:rsidRPr="005E727A" w:rsidRDefault="00AE0064" w:rsidP="005E72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E0064" w:rsidRPr="005E727A" w:rsidRDefault="00AE0064" w:rsidP="005E727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Tugas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(summary/</w:t>
            </w: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kajian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pustaka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relavan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dan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artikel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20%</w:t>
            </w:r>
          </w:p>
        </w:tc>
      </w:tr>
      <w:tr w:rsidR="00AE0064" w:rsidRPr="005E727A" w:rsidTr="00E601F3">
        <w:trPr>
          <w:trHeight w:val="223"/>
        </w:trPr>
        <w:tc>
          <w:tcPr>
            <w:tcW w:w="1929" w:type="dxa"/>
          </w:tcPr>
          <w:p w:rsidR="00AE0064" w:rsidRPr="005E727A" w:rsidRDefault="00AE0064" w:rsidP="005E72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E0064" w:rsidRPr="005E727A" w:rsidRDefault="00AE0064" w:rsidP="005E727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Ujian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5E727A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Subkompetensi</w:t>
            </w:r>
          </w:p>
        </w:tc>
        <w:tc>
          <w:tcPr>
            <w:tcW w:w="2572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25%</w:t>
            </w:r>
          </w:p>
        </w:tc>
      </w:tr>
      <w:tr w:rsidR="00AE0064" w:rsidRPr="005E727A" w:rsidTr="00E601F3">
        <w:trPr>
          <w:trHeight w:val="216"/>
        </w:trPr>
        <w:tc>
          <w:tcPr>
            <w:tcW w:w="1929" w:type="dxa"/>
          </w:tcPr>
          <w:p w:rsidR="00AE0064" w:rsidRPr="005E727A" w:rsidRDefault="00AE0064" w:rsidP="005E72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E0064" w:rsidRPr="005E727A" w:rsidRDefault="00AE0064" w:rsidP="005E727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Ujian</w:t>
            </w:r>
            <w:proofErr w:type="spellEnd"/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5E727A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Akhir Semester</w:t>
            </w:r>
          </w:p>
        </w:tc>
        <w:tc>
          <w:tcPr>
            <w:tcW w:w="2572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25%</w:t>
            </w:r>
          </w:p>
        </w:tc>
      </w:tr>
      <w:tr w:rsidR="00AE0064" w:rsidRPr="005E727A" w:rsidTr="00E601F3">
        <w:trPr>
          <w:trHeight w:val="216"/>
        </w:trPr>
        <w:tc>
          <w:tcPr>
            <w:tcW w:w="6902" w:type="dxa"/>
            <w:gridSpan w:val="2"/>
          </w:tcPr>
          <w:p w:rsidR="00AE0064" w:rsidRPr="005E727A" w:rsidRDefault="00AE0064" w:rsidP="005E727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72" w:type="dxa"/>
          </w:tcPr>
          <w:p w:rsidR="00AE0064" w:rsidRPr="005E727A" w:rsidRDefault="00AE0064" w:rsidP="005E727A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E727A">
              <w:rPr>
                <w:rFonts w:ascii="Times New Roman" w:eastAsia="Arial Narrow" w:hAnsi="Times New Roman" w:cs="Times New Roman"/>
                <w:sz w:val="24"/>
                <w:szCs w:val="24"/>
              </w:rPr>
              <w:t>100%</w:t>
            </w:r>
          </w:p>
        </w:tc>
      </w:tr>
    </w:tbl>
    <w:p w:rsidR="00DE297A" w:rsidRDefault="00DE297A" w:rsidP="005E727A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E297A" w:rsidRDefault="00DE297A" w:rsidP="005E727A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AE0064" w:rsidRPr="005E727A" w:rsidRDefault="003D5E84" w:rsidP="005E727A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>
        <w:rPr>
          <w:rFonts w:ascii="Times New Roman" w:eastAsia="Arial Narrow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Arial Narrow" w:hAnsi="Times New Roman" w:cs="Times New Roman"/>
          <w:sz w:val="24"/>
          <w:szCs w:val="24"/>
        </w:rPr>
        <w:t>,</w:t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 xml:space="preserve">Yogyakarta, 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04 </w:t>
      </w:r>
      <w:proofErr w:type="spellStart"/>
      <w:proofErr w:type="gramStart"/>
      <w:r>
        <w:rPr>
          <w:rFonts w:ascii="Times New Roman" w:eastAsia="Arial Narrow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 xml:space="preserve"> 20</w:t>
      </w:r>
      <w:r>
        <w:rPr>
          <w:rFonts w:ascii="Times New Roman" w:eastAsia="Arial Narrow" w:hAnsi="Times New Roman" w:cs="Times New Roman"/>
          <w:sz w:val="24"/>
          <w:szCs w:val="24"/>
        </w:rPr>
        <w:t>20</w:t>
      </w:r>
      <w:proofErr w:type="gramEnd"/>
    </w:p>
    <w:p w:rsidR="00AE0064" w:rsidRPr="005E727A" w:rsidRDefault="003D5E84" w:rsidP="005E727A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5E72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1" hidden="0" allowOverlap="1" wp14:anchorId="1925C870" wp14:editId="59872D87">
            <wp:simplePos x="0" y="0"/>
            <wp:positionH relativeFrom="margin">
              <wp:posOffset>3563189</wp:posOffset>
            </wp:positionH>
            <wp:positionV relativeFrom="paragraph">
              <wp:posOffset>153670</wp:posOffset>
            </wp:positionV>
            <wp:extent cx="695325" cy="885825"/>
            <wp:effectExtent l="0" t="0" r="9525" b="9525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>Kajur</w:t>
      </w:r>
      <w:proofErr w:type="spellEnd"/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 xml:space="preserve"> /</w:t>
      </w:r>
      <w:proofErr w:type="spellStart"/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>Kaprodi</w:t>
      </w:r>
      <w:proofErr w:type="spellEnd"/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>,</w:t>
      </w:r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ab/>
      </w:r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ab/>
      </w:r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ab/>
      </w:r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ab/>
      </w:r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ab/>
      </w:r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ab/>
      </w:r>
      <w:proofErr w:type="spellStart"/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>Dosen</w:t>
      </w:r>
      <w:proofErr w:type="spellEnd"/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>Pengampu</w:t>
      </w:r>
      <w:proofErr w:type="spellEnd"/>
      <w:r w:rsidR="00AE0064" w:rsidRPr="005E727A">
        <w:rPr>
          <w:rFonts w:ascii="Times New Roman" w:eastAsia="Arial Narrow" w:hAnsi="Times New Roman" w:cs="Times New Roman"/>
          <w:sz w:val="24"/>
          <w:szCs w:val="24"/>
        </w:rPr>
        <w:t>,</w:t>
      </w:r>
    </w:p>
    <w:p w:rsidR="00AE0064" w:rsidRDefault="00AE0064" w:rsidP="005E727A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E601F3" w:rsidRDefault="00E601F3" w:rsidP="005E727A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E601F3" w:rsidRDefault="00E601F3" w:rsidP="005E727A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DE297A" w:rsidRPr="005E727A" w:rsidRDefault="00DE297A" w:rsidP="005E727A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AE0064" w:rsidRPr="005E727A" w:rsidRDefault="00B92CED" w:rsidP="005E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  <w:lang w:val="en-ID"/>
        </w:rPr>
        <w:t>Dr.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Maimun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Soleh</w:t>
      </w:r>
      <w:proofErr w:type="spellEnd"/>
      <w:r>
        <w:rPr>
          <w:sz w:val="24"/>
          <w:szCs w:val="24"/>
          <w:lang w:val="id-ID"/>
        </w:rPr>
        <w:t>, M.</w:t>
      </w:r>
      <w:r>
        <w:rPr>
          <w:sz w:val="24"/>
          <w:szCs w:val="24"/>
          <w:lang w:val="en-ID"/>
        </w:rPr>
        <w:t>Si</w:t>
      </w:r>
      <w:r>
        <w:rPr>
          <w:sz w:val="24"/>
          <w:szCs w:val="24"/>
          <w:lang w:val="id-ID"/>
        </w:rPr>
        <w:t>.</w:t>
      </w:r>
      <w:r w:rsidR="00AE0064" w:rsidRPr="005E727A">
        <w:rPr>
          <w:rFonts w:ascii="Times New Roman" w:hAnsi="Times New Roman" w:cs="Times New Roman"/>
          <w:sz w:val="24"/>
          <w:szCs w:val="24"/>
        </w:rPr>
        <w:tab/>
      </w:r>
      <w:r w:rsidR="00AE0064" w:rsidRPr="005E727A">
        <w:rPr>
          <w:rFonts w:ascii="Times New Roman" w:hAnsi="Times New Roman" w:cs="Times New Roman"/>
          <w:sz w:val="24"/>
          <w:szCs w:val="24"/>
        </w:rPr>
        <w:tab/>
      </w:r>
      <w:r w:rsidR="00AE0064" w:rsidRPr="005E727A">
        <w:rPr>
          <w:rFonts w:ascii="Times New Roman" w:hAnsi="Times New Roman" w:cs="Times New Roman"/>
          <w:sz w:val="24"/>
          <w:szCs w:val="24"/>
        </w:rPr>
        <w:tab/>
      </w:r>
      <w:r w:rsidR="00AE0064" w:rsidRPr="005E727A">
        <w:rPr>
          <w:rFonts w:ascii="Times New Roman" w:hAnsi="Times New Roman" w:cs="Times New Roman"/>
          <w:sz w:val="24"/>
          <w:szCs w:val="24"/>
        </w:rPr>
        <w:tab/>
      </w:r>
      <w:r w:rsidR="00AE0064" w:rsidRPr="005E727A">
        <w:rPr>
          <w:rFonts w:ascii="Times New Roman" w:hAnsi="Times New Roman" w:cs="Times New Roman"/>
          <w:sz w:val="24"/>
          <w:szCs w:val="24"/>
        </w:rPr>
        <w:tab/>
        <w:t xml:space="preserve">Prof. Sukirno, </w:t>
      </w:r>
      <w:proofErr w:type="spellStart"/>
      <w:r w:rsidR="00AE0064" w:rsidRPr="005E727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AE0064" w:rsidRPr="005E727A">
        <w:rPr>
          <w:rFonts w:ascii="Times New Roman" w:hAnsi="Times New Roman" w:cs="Times New Roman"/>
          <w:sz w:val="24"/>
          <w:szCs w:val="24"/>
        </w:rPr>
        <w:t xml:space="preserve">., Ph.D. </w:t>
      </w:r>
    </w:p>
    <w:p w:rsidR="00AE0064" w:rsidRPr="005E727A" w:rsidRDefault="00AE0064" w:rsidP="005E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7A">
        <w:rPr>
          <w:rFonts w:ascii="Times New Roman" w:hAnsi="Times New Roman" w:cs="Times New Roman"/>
          <w:sz w:val="24"/>
          <w:szCs w:val="24"/>
        </w:rPr>
        <w:t xml:space="preserve">NIP. </w:t>
      </w:r>
      <w:r w:rsidR="00B92CED" w:rsidRPr="00B92CED">
        <w:rPr>
          <w:rFonts w:ascii="Times New Roman" w:hAnsi="Times New Roman" w:cs="Times New Roman"/>
          <w:sz w:val="24"/>
          <w:szCs w:val="24"/>
        </w:rPr>
        <w:t>19660606 200501 1 002</w:t>
      </w:r>
      <w:r w:rsidR="003D5E84">
        <w:rPr>
          <w:rFonts w:ascii="Times New Roman" w:hAnsi="Times New Roman" w:cs="Times New Roman"/>
          <w:sz w:val="24"/>
          <w:szCs w:val="24"/>
        </w:rPr>
        <w:tab/>
      </w:r>
      <w:r w:rsidR="003D5E84">
        <w:rPr>
          <w:rFonts w:ascii="Times New Roman" w:hAnsi="Times New Roman" w:cs="Times New Roman"/>
          <w:sz w:val="24"/>
          <w:szCs w:val="24"/>
        </w:rPr>
        <w:tab/>
      </w:r>
      <w:r w:rsidR="003D5E84">
        <w:rPr>
          <w:rFonts w:ascii="Times New Roman" w:hAnsi="Times New Roman" w:cs="Times New Roman"/>
          <w:sz w:val="24"/>
          <w:szCs w:val="24"/>
        </w:rPr>
        <w:tab/>
      </w:r>
      <w:r w:rsidR="003D5E84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3D5E84">
        <w:rPr>
          <w:rFonts w:ascii="Times New Roman" w:hAnsi="Times New Roman" w:cs="Times New Roman"/>
          <w:sz w:val="24"/>
          <w:szCs w:val="24"/>
        </w:rPr>
        <w:tab/>
      </w:r>
      <w:r w:rsidRPr="005E727A">
        <w:rPr>
          <w:rFonts w:ascii="Times New Roman" w:hAnsi="Times New Roman" w:cs="Times New Roman"/>
          <w:sz w:val="24"/>
          <w:szCs w:val="24"/>
        </w:rPr>
        <w:t xml:space="preserve">NIP. 19690414 199403 1 002 </w:t>
      </w:r>
    </w:p>
    <w:p w:rsidR="006541AB" w:rsidRPr="005E727A" w:rsidRDefault="006541AB" w:rsidP="005E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1AB" w:rsidRPr="005E727A" w:rsidSect="00E601F3">
      <w:pgSz w:w="12240" w:h="15840"/>
      <w:pgMar w:top="1440" w:right="104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96C"/>
    <w:multiLevelType w:val="multilevel"/>
    <w:tmpl w:val="42AC16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FA47AF7"/>
    <w:multiLevelType w:val="hybridMultilevel"/>
    <w:tmpl w:val="12E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8B6B05"/>
    <w:multiLevelType w:val="hybridMultilevel"/>
    <w:tmpl w:val="BFDCF456"/>
    <w:lvl w:ilvl="0" w:tplc="E4A66366">
      <w:start w:val="11"/>
      <w:numFmt w:val="bullet"/>
      <w:lvlText w:val="-"/>
      <w:lvlJc w:val="left"/>
      <w:pPr>
        <w:ind w:left="785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" w15:restartNumberingAfterBreak="0">
    <w:nsid w:val="66175DB7"/>
    <w:multiLevelType w:val="hybridMultilevel"/>
    <w:tmpl w:val="9C6A2F1C"/>
    <w:lvl w:ilvl="0" w:tplc="E4A6636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AB"/>
    <w:rsid w:val="000106E9"/>
    <w:rsid w:val="00027E6D"/>
    <w:rsid w:val="000A5A26"/>
    <w:rsid w:val="000D2652"/>
    <w:rsid w:val="002D595F"/>
    <w:rsid w:val="00373116"/>
    <w:rsid w:val="003B4127"/>
    <w:rsid w:val="003D5E84"/>
    <w:rsid w:val="005B239C"/>
    <w:rsid w:val="005C1C51"/>
    <w:rsid w:val="005E727A"/>
    <w:rsid w:val="006541AB"/>
    <w:rsid w:val="006718CE"/>
    <w:rsid w:val="006B7EDE"/>
    <w:rsid w:val="007855FD"/>
    <w:rsid w:val="00791B08"/>
    <w:rsid w:val="007C7E38"/>
    <w:rsid w:val="00812C34"/>
    <w:rsid w:val="00814190"/>
    <w:rsid w:val="00837940"/>
    <w:rsid w:val="009C2E5D"/>
    <w:rsid w:val="00AE0064"/>
    <w:rsid w:val="00B21764"/>
    <w:rsid w:val="00B81688"/>
    <w:rsid w:val="00B92CED"/>
    <w:rsid w:val="00C04307"/>
    <w:rsid w:val="00C9179E"/>
    <w:rsid w:val="00CD6EEF"/>
    <w:rsid w:val="00D57FDB"/>
    <w:rsid w:val="00DE297A"/>
    <w:rsid w:val="00E601F3"/>
    <w:rsid w:val="00EF75FB"/>
    <w:rsid w:val="00F36447"/>
    <w:rsid w:val="00F735C7"/>
    <w:rsid w:val="00FC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9D5D-66C7-4175-AA9C-6716D61A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F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7F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57FD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7FDB"/>
    <w:pPr>
      <w:ind w:left="720"/>
    </w:pPr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D57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57FD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AE0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24</cp:revision>
  <dcterms:created xsi:type="dcterms:W3CDTF">2020-02-03T13:41:00Z</dcterms:created>
  <dcterms:modified xsi:type="dcterms:W3CDTF">2021-02-09T13:49:00Z</dcterms:modified>
</cp:coreProperties>
</file>