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D12D3B" w14:textId="145F68C4" w:rsidR="00EA49AC" w:rsidRDefault="00CF3C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NAMA MATA KULIAH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: AKUNTANSI MANAJEMEN</w:t>
      </w:r>
      <w:r w:rsidR="003F30DF">
        <w:rPr>
          <w:rFonts w:ascii="Arial Narrow" w:eastAsia="Arial Narrow" w:hAnsi="Arial Narrow" w:cs="Arial Narrow"/>
          <w:sz w:val="24"/>
          <w:szCs w:val="24"/>
        </w:rPr>
        <w:t xml:space="preserve"> PENDIDIKAN</w:t>
      </w:r>
    </w:p>
    <w:p w14:paraId="4DC0F9DD" w14:textId="77777777" w:rsidR="00EA49AC" w:rsidRPr="00365C42" w:rsidRDefault="00CF3C5D">
      <w:pPr>
        <w:rPr>
          <w:rFonts w:ascii="Arial Narrow" w:eastAsia="Arial Narrow" w:hAnsi="Arial Narrow" w:cs="Arial Narrow"/>
          <w:sz w:val="24"/>
          <w:szCs w:val="24"/>
          <w:lang w:val="id-ID"/>
        </w:rPr>
      </w:pPr>
      <w:r>
        <w:rPr>
          <w:rFonts w:ascii="Arial Narrow" w:eastAsia="Arial Narrow" w:hAnsi="Arial Narrow" w:cs="Arial Narrow"/>
          <w:sz w:val="24"/>
          <w:szCs w:val="24"/>
        </w:rPr>
        <w:t>KODE MATA KULIAH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: </w:t>
      </w:r>
      <w:r w:rsidR="00365C42">
        <w:rPr>
          <w:rFonts w:ascii="Arial Narrow" w:eastAsia="Arial Narrow" w:hAnsi="Arial Narrow" w:cs="Arial Narrow"/>
          <w:sz w:val="24"/>
          <w:szCs w:val="24"/>
          <w:lang w:val="id-ID"/>
        </w:rPr>
        <w:t>PAK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65C42">
        <w:rPr>
          <w:rFonts w:ascii="Arial Narrow" w:eastAsia="Arial Narrow" w:hAnsi="Arial Narrow" w:cs="Arial Narrow"/>
          <w:sz w:val="24"/>
          <w:szCs w:val="24"/>
          <w:lang w:val="id-ID"/>
        </w:rPr>
        <w:t>8221</w:t>
      </w:r>
    </w:p>
    <w:p w14:paraId="7F3E6D6C" w14:textId="77777777" w:rsidR="00EA49AC" w:rsidRDefault="00CF3C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JUMLAH SKS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: </w:t>
      </w:r>
      <w:r w:rsidR="00365C42">
        <w:rPr>
          <w:rFonts w:ascii="Arial Narrow" w:eastAsia="Arial Narrow" w:hAnsi="Arial Narrow" w:cs="Arial Narrow"/>
          <w:sz w:val="24"/>
          <w:szCs w:val="24"/>
          <w:lang w:val="id-ID"/>
        </w:rPr>
        <w:t>2</w:t>
      </w:r>
      <w:r>
        <w:rPr>
          <w:rFonts w:ascii="Arial Narrow" w:eastAsia="Arial Narrow" w:hAnsi="Arial Narrow" w:cs="Arial Narrow"/>
          <w:sz w:val="24"/>
          <w:szCs w:val="24"/>
        </w:rPr>
        <w:t xml:space="preserve"> SKS</w:t>
      </w:r>
    </w:p>
    <w:p w14:paraId="18F8B5C8" w14:textId="77777777" w:rsidR="00EA49AC" w:rsidRDefault="00CF3C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PRODI / JURUSAN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: PEND. </w:t>
      </w:r>
      <w:r w:rsidR="00365C42">
        <w:rPr>
          <w:rFonts w:ascii="Arial Narrow" w:eastAsia="Arial Narrow" w:hAnsi="Arial Narrow" w:cs="Arial Narrow"/>
          <w:sz w:val="24"/>
          <w:szCs w:val="24"/>
          <w:lang w:val="id-ID"/>
        </w:rPr>
        <w:t>EKONOMI / PASCA SARJANA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186282B7" w14:textId="6A99259F" w:rsidR="00EA49AC" w:rsidRDefault="00CF3C5D">
      <w:pPr>
        <w:tabs>
          <w:tab w:val="left" w:pos="2880"/>
        </w:tabs>
        <w:ind w:left="2970" w:hanging="297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DESKRIPSI MATA KULIAH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: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Akuntansi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manajemen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adalah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subbidang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spesifik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akuntansi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berusaha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menyediakan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informasi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untuk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kepentingan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manajemen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membuat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keputusan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B725A">
        <w:rPr>
          <w:rFonts w:ascii="Arial Narrow" w:eastAsia="Arial Narrow" w:hAnsi="Arial Narrow" w:cs="Arial Narrow"/>
          <w:sz w:val="24"/>
          <w:szCs w:val="24"/>
          <w:lang w:val="id-ID"/>
        </w:rPr>
        <w:t xml:space="preserve">pendidikan dan atau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bisnis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 Mata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kuliah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menyajikan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materi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tentang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konsep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teori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metode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aplikasi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konsep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teori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metode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akuntansi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untuk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membantu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manajemen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membuat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keputusan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bidang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B725A">
        <w:rPr>
          <w:rFonts w:ascii="Arial Narrow" w:eastAsia="Arial Narrow" w:hAnsi="Arial Narrow" w:cs="Arial Narrow"/>
          <w:sz w:val="24"/>
          <w:szCs w:val="24"/>
          <w:lang w:val="id-ID"/>
        </w:rPr>
        <w:t xml:space="preserve">pendidikan dan atau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bisnis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Untuk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memberikan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pengalaman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berharga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pada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dosen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proses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pembelajaran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lebih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berperan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fasilitator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Setiap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dituntut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mampu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melakukan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proses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penalaran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logis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secara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B67BA2">
        <w:rPr>
          <w:rFonts w:ascii="Arial Narrow" w:eastAsia="Arial Narrow" w:hAnsi="Arial Narrow" w:cs="Arial Narrow"/>
          <w:sz w:val="24"/>
          <w:szCs w:val="24"/>
        </w:rPr>
        <w:t>induktif</w:t>
      </w:r>
      <w:proofErr w:type="spellEnd"/>
      <w:r w:rsidR="00B67BA2">
        <w:rPr>
          <w:rFonts w:ascii="Arial Narrow" w:eastAsia="Arial Narrow" w:hAnsi="Arial Narrow" w:cs="Arial Narrow"/>
          <w:sz w:val="24"/>
          <w:szCs w:val="24"/>
        </w:rPr>
        <w:t xml:space="preserve"> dan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deduktif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melalui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kajian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teoritis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dan </w:t>
      </w:r>
      <w:r w:rsidR="00DB725A">
        <w:rPr>
          <w:rFonts w:ascii="Arial Narrow" w:eastAsia="Arial Narrow" w:hAnsi="Arial Narrow" w:cs="Arial Narrow"/>
          <w:sz w:val="24"/>
          <w:szCs w:val="24"/>
          <w:lang w:val="id-ID"/>
        </w:rPr>
        <w:t xml:space="preserve">empiris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bidang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B725A">
        <w:rPr>
          <w:rFonts w:ascii="Arial Narrow" w:eastAsia="Arial Narrow" w:hAnsi="Arial Narrow" w:cs="Arial Narrow"/>
          <w:sz w:val="24"/>
          <w:szCs w:val="24"/>
          <w:lang w:val="id-ID"/>
        </w:rPr>
        <w:t>pendidikan dan atau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bisnis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secara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individual dan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kolektif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</w:p>
    <w:p w14:paraId="163D5DC8" w14:textId="77777777" w:rsidR="00EA49AC" w:rsidRDefault="00CF3C5D">
      <w:pPr>
        <w:ind w:left="2970" w:firstLine="63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Setelah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mengikuti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kuliah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Akuntansi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Manajemen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diharapkan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mampu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melakukan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hal-hal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berikut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:</w:t>
      </w:r>
    </w:p>
    <w:p w14:paraId="4B437714" w14:textId="6AA25C6D" w:rsidR="00C621FA" w:rsidRDefault="00CF3C5D" w:rsidP="00C621FA">
      <w:pPr>
        <w:numPr>
          <w:ilvl w:val="0"/>
          <w:numId w:val="20"/>
        </w:numPr>
        <w:ind w:left="333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Memahami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konsep-konsep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teori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dan </w:t>
      </w:r>
      <w:proofErr w:type="spellStart"/>
      <w:r w:rsidR="00B67BA2">
        <w:rPr>
          <w:rFonts w:ascii="Arial Narrow" w:eastAsia="Arial Narrow" w:hAnsi="Arial Narrow" w:cs="Arial Narrow"/>
          <w:sz w:val="24"/>
          <w:szCs w:val="24"/>
        </w:rPr>
        <w:t>metode</w:t>
      </w:r>
      <w:proofErr w:type="spellEnd"/>
      <w:r w:rsidR="00B67BA2">
        <w:rPr>
          <w:rFonts w:ascii="Arial Narrow" w:eastAsia="Arial Narrow" w:hAnsi="Arial Narrow" w:cs="Arial Narrow"/>
          <w:sz w:val="24"/>
          <w:szCs w:val="24"/>
        </w:rPr>
        <w:t xml:space="preserve"> yang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terdapat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bidang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akuntansi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manajemen</w:t>
      </w:r>
      <w:proofErr w:type="spellEnd"/>
      <w:r w:rsidR="00C621FA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C621FA">
        <w:rPr>
          <w:rFonts w:ascii="Arial Narrow" w:eastAsia="Arial Narrow" w:hAnsi="Arial Narrow" w:cs="Arial Narrow"/>
          <w:sz w:val="24"/>
          <w:szCs w:val="24"/>
        </w:rPr>
        <w:t>pendidikan</w:t>
      </w:r>
      <w:proofErr w:type="spellEnd"/>
      <w:r w:rsidR="00C621FA">
        <w:rPr>
          <w:rFonts w:ascii="Arial Narrow" w:eastAsia="Arial Narrow" w:hAnsi="Arial Narrow" w:cs="Arial Narrow"/>
          <w:sz w:val="24"/>
          <w:szCs w:val="24"/>
        </w:rPr>
        <w:t xml:space="preserve"> dan </w:t>
      </w:r>
      <w:proofErr w:type="spellStart"/>
      <w:r w:rsidR="00C621FA">
        <w:rPr>
          <w:rFonts w:ascii="Arial Narrow" w:eastAsia="Arial Narrow" w:hAnsi="Arial Narrow" w:cs="Arial Narrow"/>
          <w:sz w:val="24"/>
          <w:szCs w:val="24"/>
        </w:rPr>
        <w:t>bisnis</w:t>
      </w:r>
      <w:proofErr w:type="spellEnd"/>
      <w:r w:rsidR="00C621FA">
        <w:rPr>
          <w:rFonts w:ascii="Arial Narrow" w:eastAsia="Arial Narrow" w:hAnsi="Arial Narrow" w:cs="Arial Narrow"/>
          <w:sz w:val="24"/>
          <w:szCs w:val="24"/>
        </w:rPr>
        <w:t>.</w:t>
      </w:r>
    </w:p>
    <w:p w14:paraId="763C27A8" w14:textId="77777777" w:rsidR="00EA49AC" w:rsidRDefault="00CF3C5D">
      <w:pPr>
        <w:numPr>
          <w:ilvl w:val="0"/>
          <w:numId w:val="20"/>
        </w:numPr>
        <w:ind w:left="333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Menerapkan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setiap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konsep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teori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metode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akuntansi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manajemen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untuk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membuat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keputusan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B725A">
        <w:rPr>
          <w:rFonts w:ascii="Arial Narrow" w:eastAsia="Arial Narrow" w:hAnsi="Arial Narrow" w:cs="Arial Narrow"/>
          <w:sz w:val="24"/>
          <w:szCs w:val="24"/>
          <w:lang w:val="id-ID"/>
        </w:rPr>
        <w:t xml:space="preserve">pendidikan dan atau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bisnis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7CCA5FB9" w14:textId="77777777" w:rsidR="00EA49AC" w:rsidRDefault="00CF3C5D">
      <w:pPr>
        <w:numPr>
          <w:ilvl w:val="0"/>
          <w:numId w:val="20"/>
        </w:numPr>
        <w:ind w:left="333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Memahami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memikirkan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kelebihan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kelemahan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serta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kemungkinan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penerapan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isu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terkini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akuntansi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manajemen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C621FA">
        <w:rPr>
          <w:rFonts w:ascii="Arial Narrow" w:eastAsia="Arial Narrow" w:hAnsi="Arial Narrow" w:cs="Arial Narrow"/>
          <w:sz w:val="24"/>
          <w:szCs w:val="24"/>
        </w:rPr>
        <w:t>pendidikan</w:t>
      </w:r>
      <w:proofErr w:type="spellEnd"/>
      <w:r w:rsidR="00C621FA">
        <w:rPr>
          <w:rFonts w:ascii="Arial Narrow" w:eastAsia="Arial Narrow" w:hAnsi="Arial Narrow" w:cs="Arial Narrow"/>
          <w:sz w:val="24"/>
          <w:szCs w:val="24"/>
        </w:rPr>
        <w:t xml:space="preserve"> dan </w:t>
      </w:r>
      <w:proofErr w:type="spellStart"/>
      <w:r w:rsidR="00C621FA">
        <w:rPr>
          <w:rFonts w:ascii="Arial Narrow" w:eastAsia="Arial Narrow" w:hAnsi="Arial Narrow" w:cs="Arial Narrow"/>
          <w:sz w:val="24"/>
          <w:szCs w:val="24"/>
        </w:rPr>
        <w:t>bisnis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7AC73A9C" w14:textId="77777777" w:rsidR="00EA49AC" w:rsidRDefault="00CF3C5D">
      <w:pPr>
        <w:numPr>
          <w:ilvl w:val="0"/>
          <w:numId w:val="20"/>
        </w:numPr>
        <w:ind w:left="333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Melakukan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riset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terkait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akuntansi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manajemen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bidang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B725A">
        <w:rPr>
          <w:rFonts w:ascii="Arial Narrow" w:eastAsia="Arial Narrow" w:hAnsi="Arial Narrow" w:cs="Arial Narrow"/>
          <w:sz w:val="24"/>
          <w:szCs w:val="24"/>
          <w:lang w:val="id-ID"/>
        </w:rPr>
        <w:t xml:space="preserve">pendidikan dan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bisnis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48205CFF" w14:textId="77777777" w:rsidR="00EA49AC" w:rsidRDefault="00CF3C5D">
      <w:pPr>
        <w:ind w:left="2970" w:firstLine="63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Agar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tujuan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kuliah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tercapai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harus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memenuhi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kewajiban-kewajiban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berikut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:</w:t>
      </w:r>
    </w:p>
    <w:p w14:paraId="1C9C72E3" w14:textId="77777777" w:rsidR="00EA49AC" w:rsidRDefault="00CF3C5D">
      <w:pPr>
        <w:numPr>
          <w:ilvl w:val="0"/>
          <w:numId w:val="21"/>
        </w:numPr>
        <w:ind w:left="3240" w:hanging="27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wajib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menghadiri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kuliah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minimum 75%. </w:t>
      </w:r>
    </w:p>
    <w:p w14:paraId="38F0368C" w14:textId="5DAEE187" w:rsidR="00EA49AC" w:rsidRDefault="00CF3C5D">
      <w:pPr>
        <w:numPr>
          <w:ilvl w:val="0"/>
          <w:numId w:val="21"/>
        </w:numPr>
        <w:ind w:left="3240" w:hanging="27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Setiap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diharuskan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B67BA2">
        <w:rPr>
          <w:rFonts w:ascii="Arial Narrow" w:eastAsia="Arial Narrow" w:hAnsi="Arial Narrow" w:cs="Arial Narrow"/>
          <w:sz w:val="24"/>
          <w:szCs w:val="24"/>
        </w:rPr>
        <w:t>memiliki</w:t>
      </w:r>
      <w:proofErr w:type="spellEnd"/>
      <w:r w:rsidR="00B67BA2">
        <w:rPr>
          <w:rFonts w:ascii="Arial Narrow" w:eastAsia="Arial Narrow" w:hAnsi="Arial Narrow" w:cs="Arial Narrow"/>
          <w:sz w:val="24"/>
          <w:szCs w:val="24"/>
        </w:rPr>
        <w:t xml:space="preserve"> dan</w:t>
      </w:r>
      <w:r w:rsidR="00C621FA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C621FA">
        <w:rPr>
          <w:rFonts w:ascii="Arial Narrow" w:eastAsia="Arial Narrow" w:hAnsi="Arial Narrow" w:cs="Arial Narrow"/>
          <w:sz w:val="24"/>
          <w:szCs w:val="24"/>
        </w:rPr>
        <w:t>membaca</w:t>
      </w:r>
      <w:proofErr w:type="spellEnd"/>
      <w:r w:rsidR="00C621FA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B725A">
        <w:rPr>
          <w:rFonts w:ascii="Arial Narrow" w:eastAsia="Arial Narrow" w:hAnsi="Arial Narrow" w:cs="Arial Narrow"/>
          <w:sz w:val="24"/>
          <w:szCs w:val="24"/>
          <w:lang w:val="id-ID"/>
        </w:rPr>
        <w:t>semua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buku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DB725A">
        <w:rPr>
          <w:rFonts w:ascii="Arial Narrow" w:eastAsia="Arial Narrow" w:hAnsi="Arial Narrow" w:cs="Arial Narrow"/>
          <w:sz w:val="24"/>
          <w:szCs w:val="24"/>
          <w:lang w:val="id-ID"/>
        </w:rPr>
        <w:t>dan artikel</w:t>
      </w:r>
      <w:r>
        <w:rPr>
          <w:rFonts w:ascii="Arial Narrow" w:eastAsia="Arial Narrow" w:hAnsi="Arial Narrow" w:cs="Arial Narrow"/>
          <w:sz w:val="24"/>
          <w:szCs w:val="24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dipergunakan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kuliah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08915236" w14:textId="77777777" w:rsidR="00885857" w:rsidRDefault="00885857" w:rsidP="00885857">
      <w:pPr>
        <w:numPr>
          <w:ilvl w:val="0"/>
          <w:numId w:val="21"/>
        </w:numPr>
        <w:ind w:left="3240" w:hanging="27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Setiap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dituntut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berpartisipasi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aktif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setiap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perkuliahan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726968A8" w14:textId="4C2EE71A" w:rsidR="00EA49AC" w:rsidRDefault="00CF3C5D">
      <w:pPr>
        <w:numPr>
          <w:ilvl w:val="0"/>
          <w:numId w:val="21"/>
        </w:numPr>
        <w:ind w:left="3240" w:hanging="27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Setiap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885857">
        <w:rPr>
          <w:rFonts w:ascii="Arial Narrow" w:eastAsia="Arial Narrow" w:hAnsi="Arial Narrow" w:cs="Arial Narrow"/>
          <w:sz w:val="24"/>
          <w:szCs w:val="24"/>
        </w:rPr>
        <w:t>harus</w:t>
      </w:r>
      <w:proofErr w:type="spellEnd"/>
      <w:r w:rsidR="00885857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885857">
        <w:rPr>
          <w:rFonts w:ascii="Arial Narrow" w:eastAsia="Arial Narrow" w:hAnsi="Arial Narrow" w:cs="Arial Narrow"/>
          <w:sz w:val="24"/>
          <w:szCs w:val="24"/>
        </w:rPr>
        <w:t>menginstall</w:t>
      </w:r>
      <w:proofErr w:type="spellEnd"/>
      <w:r w:rsidR="00885857">
        <w:rPr>
          <w:rFonts w:ascii="Arial Narrow" w:eastAsia="Arial Narrow" w:hAnsi="Arial Narrow" w:cs="Arial Narrow"/>
          <w:sz w:val="24"/>
          <w:szCs w:val="24"/>
        </w:rPr>
        <w:t xml:space="preserve"> software PnP </w:t>
      </w:r>
      <w:proofErr w:type="spellStart"/>
      <w:r w:rsidR="00885857">
        <w:rPr>
          <w:rFonts w:ascii="Arial Narrow" w:eastAsia="Arial Narrow" w:hAnsi="Arial Narrow" w:cs="Arial Narrow"/>
          <w:sz w:val="24"/>
          <w:szCs w:val="24"/>
        </w:rPr>
        <w:t>untuk</w:t>
      </w:r>
      <w:proofErr w:type="spellEnd"/>
      <w:r w:rsidR="00885857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885857">
        <w:rPr>
          <w:rFonts w:ascii="Arial Narrow" w:eastAsia="Arial Narrow" w:hAnsi="Arial Narrow" w:cs="Arial Narrow"/>
          <w:sz w:val="24"/>
          <w:szCs w:val="24"/>
        </w:rPr>
        <w:t>kepentingan</w:t>
      </w:r>
      <w:proofErr w:type="spellEnd"/>
      <w:r w:rsidR="00885857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885857">
        <w:rPr>
          <w:rFonts w:ascii="Arial Narrow" w:eastAsia="Arial Narrow" w:hAnsi="Arial Narrow" w:cs="Arial Narrow"/>
          <w:sz w:val="24"/>
          <w:szCs w:val="24"/>
        </w:rPr>
        <w:t>analisis</w:t>
      </w:r>
      <w:proofErr w:type="spellEnd"/>
      <w:r w:rsidR="00885857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885857">
        <w:rPr>
          <w:rFonts w:ascii="Arial Narrow" w:eastAsia="Arial Narrow" w:hAnsi="Arial Narrow" w:cs="Arial Narrow"/>
          <w:sz w:val="24"/>
          <w:szCs w:val="24"/>
        </w:rPr>
        <w:t>jurnal</w:t>
      </w:r>
      <w:proofErr w:type="spellEnd"/>
      <w:r w:rsidR="00885857"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 w:rsidR="00885857">
        <w:rPr>
          <w:rFonts w:ascii="Arial Narrow" w:eastAsia="Arial Narrow" w:hAnsi="Arial Narrow" w:cs="Arial Narrow"/>
          <w:sz w:val="24"/>
          <w:szCs w:val="24"/>
        </w:rPr>
        <w:t>penelitian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50E0E007" w14:textId="77777777" w:rsidR="00EA49AC" w:rsidRDefault="00CF3C5D">
      <w:pPr>
        <w:numPr>
          <w:ilvl w:val="0"/>
          <w:numId w:val="21"/>
        </w:numPr>
        <w:ind w:left="3240" w:hanging="27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Setiap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wajib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mengumpulkan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tugas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ada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pada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kuliah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akuntansi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manajemen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5DFF5511" w14:textId="77777777" w:rsidR="00EA49AC" w:rsidRDefault="00CF3C5D">
      <w:pPr>
        <w:numPr>
          <w:ilvl w:val="0"/>
          <w:numId w:val="21"/>
        </w:numPr>
        <w:ind w:left="3240" w:hanging="27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wajib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mengikuti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ujian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mid semester dan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ujian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akhir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diselenggarakan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276F55ED" w14:textId="77777777" w:rsidR="00EA49AC" w:rsidRDefault="00CF3C5D">
      <w:pPr>
        <w:numPr>
          <w:ilvl w:val="0"/>
          <w:numId w:val="21"/>
        </w:numPr>
        <w:ind w:left="3240" w:hanging="27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Konsultasi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perkuliahan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masalah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lainnya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dilaksanakan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ketika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kuliah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berlangsung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atau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pada jam-jam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konsultasi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yang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telah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disepakati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bersama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14:paraId="75403C63" w14:textId="77777777" w:rsidR="00EA49AC" w:rsidRDefault="00EA49AC">
      <w:pPr>
        <w:rPr>
          <w:rFonts w:ascii="Arial Narrow" w:eastAsia="Arial Narrow" w:hAnsi="Arial Narrow" w:cs="Arial Narrow"/>
          <w:lang w:val="id-ID"/>
        </w:rPr>
      </w:pPr>
    </w:p>
    <w:p w14:paraId="3C599342" w14:textId="77777777" w:rsidR="00862E90" w:rsidRDefault="00862E90">
      <w:pPr>
        <w:rPr>
          <w:rFonts w:ascii="Arial Narrow" w:eastAsia="Arial Narrow" w:hAnsi="Arial Narrow" w:cs="Arial Narrow"/>
          <w:lang w:val="id-ID"/>
        </w:rPr>
      </w:pPr>
      <w:r>
        <w:rPr>
          <w:rFonts w:ascii="Arial Narrow" w:eastAsia="Arial Narrow" w:hAnsi="Arial Narrow" w:cs="Arial Narrow"/>
          <w:lang w:val="id-ID"/>
        </w:rPr>
        <w:br w:type="page"/>
      </w:r>
    </w:p>
    <w:p w14:paraId="53731707" w14:textId="77777777" w:rsidR="00862E90" w:rsidRPr="00862E90" w:rsidRDefault="00862E90">
      <w:pPr>
        <w:rPr>
          <w:rFonts w:ascii="Arial Narrow" w:eastAsia="Arial Narrow" w:hAnsi="Arial Narrow" w:cs="Arial Narrow"/>
          <w:lang w:val="id-ID"/>
        </w:rPr>
      </w:pPr>
    </w:p>
    <w:tbl>
      <w:tblPr>
        <w:tblStyle w:val="a"/>
        <w:tblW w:w="15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1817"/>
        <w:gridCol w:w="4536"/>
        <w:gridCol w:w="2551"/>
        <w:gridCol w:w="2552"/>
        <w:gridCol w:w="1560"/>
        <w:gridCol w:w="1431"/>
      </w:tblGrid>
      <w:tr w:rsidR="00EA49AC" w:rsidRPr="008111D4" w14:paraId="494171D3" w14:textId="77777777" w:rsidTr="00257DCA">
        <w:tc>
          <w:tcPr>
            <w:tcW w:w="984" w:type="dxa"/>
          </w:tcPr>
          <w:p w14:paraId="01474F66" w14:textId="77777777" w:rsidR="00EA49AC" w:rsidRPr="008111D4" w:rsidRDefault="00CF3C5D" w:rsidP="008111D4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b/>
                <w:sz w:val="22"/>
                <w:szCs w:val="22"/>
              </w:rPr>
              <w:t>SESI</w:t>
            </w:r>
          </w:p>
        </w:tc>
        <w:tc>
          <w:tcPr>
            <w:tcW w:w="1817" w:type="dxa"/>
          </w:tcPr>
          <w:p w14:paraId="27BDA617" w14:textId="77777777" w:rsidR="00EA49AC" w:rsidRPr="008111D4" w:rsidRDefault="00CF3C5D" w:rsidP="008111D4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b/>
                <w:sz w:val="22"/>
                <w:szCs w:val="22"/>
              </w:rPr>
              <w:t>KOMPETENSI</w:t>
            </w:r>
          </w:p>
        </w:tc>
        <w:tc>
          <w:tcPr>
            <w:tcW w:w="4536" w:type="dxa"/>
          </w:tcPr>
          <w:p w14:paraId="31999660" w14:textId="77777777" w:rsidR="00EA49AC" w:rsidRPr="008111D4" w:rsidRDefault="00CF3C5D" w:rsidP="008111D4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b/>
                <w:sz w:val="22"/>
                <w:szCs w:val="22"/>
              </w:rPr>
              <w:t xml:space="preserve">INDIKATOR </w:t>
            </w:r>
          </w:p>
          <w:p w14:paraId="6C2AB3EE" w14:textId="77777777" w:rsidR="00EA49AC" w:rsidRPr="008111D4" w:rsidRDefault="00CF3C5D" w:rsidP="008111D4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b/>
                <w:sz w:val="22"/>
                <w:szCs w:val="22"/>
              </w:rPr>
              <w:t>PENCAPAIAN</w:t>
            </w:r>
          </w:p>
        </w:tc>
        <w:tc>
          <w:tcPr>
            <w:tcW w:w="2551" w:type="dxa"/>
          </w:tcPr>
          <w:p w14:paraId="3D45ABDB" w14:textId="77777777" w:rsidR="00EA49AC" w:rsidRPr="008111D4" w:rsidRDefault="00CF3C5D" w:rsidP="008111D4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b/>
                <w:sz w:val="22"/>
                <w:szCs w:val="22"/>
              </w:rPr>
              <w:t>POKOK BAHASAN DAN RINCIAN POKOK BAHASAN</w:t>
            </w:r>
          </w:p>
        </w:tc>
        <w:tc>
          <w:tcPr>
            <w:tcW w:w="2552" w:type="dxa"/>
          </w:tcPr>
          <w:p w14:paraId="34DED27E" w14:textId="77777777" w:rsidR="00EA49AC" w:rsidRPr="008111D4" w:rsidRDefault="00CF3C5D" w:rsidP="008111D4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b/>
                <w:sz w:val="22"/>
                <w:szCs w:val="22"/>
              </w:rPr>
              <w:t xml:space="preserve">KEGIATAN </w:t>
            </w:r>
          </w:p>
          <w:p w14:paraId="633DEEC2" w14:textId="77777777" w:rsidR="00EA49AC" w:rsidRPr="008111D4" w:rsidRDefault="00CF3C5D" w:rsidP="008111D4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b/>
                <w:sz w:val="22"/>
                <w:szCs w:val="22"/>
              </w:rPr>
              <w:t>PEMBELAJARAN</w:t>
            </w:r>
          </w:p>
        </w:tc>
        <w:tc>
          <w:tcPr>
            <w:tcW w:w="1560" w:type="dxa"/>
          </w:tcPr>
          <w:p w14:paraId="59FD7126" w14:textId="77777777" w:rsidR="00EA49AC" w:rsidRPr="008111D4" w:rsidRDefault="00CF3C5D" w:rsidP="008111D4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b/>
                <w:sz w:val="22"/>
                <w:szCs w:val="22"/>
              </w:rPr>
              <w:t>EVALUASI</w:t>
            </w:r>
          </w:p>
        </w:tc>
        <w:tc>
          <w:tcPr>
            <w:tcW w:w="1431" w:type="dxa"/>
          </w:tcPr>
          <w:p w14:paraId="6AEAB57D" w14:textId="77777777" w:rsidR="00EA49AC" w:rsidRPr="008111D4" w:rsidRDefault="00CF3C5D" w:rsidP="008111D4">
            <w:pPr>
              <w:jc w:val="center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b/>
                <w:sz w:val="22"/>
                <w:szCs w:val="22"/>
              </w:rPr>
              <w:t>SUMBER BAHAN</w:t>
            </w:r>
          </w:p>
        </w:tc>
      </w:tr>
      <w:tr w:rsidR="00761AD8" w:rsidRPr="008111D4" w14:paraId="792E2313" w14:textId="77777777" w:rsidTr="00257DCA">
        <w:tc>
          <w:tcPr>
            <w:tcW w:w="984" w:type="dxa"/>
          </w:tcPr>
          <w:p w14:paraId="6EB87767" w14:textId="77777777" w:rsidR="00761AD8" w:rsidRPr="008111D4" w:rsidRDefault="00761AD8" w:rsidP="00761AD8">
            <w:pPr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35C99CC2" w14:textId="77777777" w:rsidR="00761AD8" w:rsidRPr="008111D4" w:rsidRDefault="00761AD8" w:rsidP="00761AD8">
            <w:pPr>
              <w:rPr>
                <w:sz w:val="22"/>
                <w:szCs w:val="22"/>
              </w:rPr>
            </w:pPr>
            <w:proofErr w:type="spellStart"/>
            <w:r w:rsidRPr="008111D4">
              <w:rPr>
                <w:sz w:val="22"/>
                <w:szCs w:val="22"/>
              </w:rPr>
              <w:t>Menjelaskan</w:t>
            </w:r>
            <w:proofErr w:type="spellEnd"/>
            <w:r w:rsidRPr="008111D4">
              <w:rPr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sz w:val="22"/>
                <w:szCs w:val="22"/>
              </w:rPr>
              <w:t>sejarah</w:t>
            </w:r>
            <w:proofErr w:type="spellEnd"/>
            <w:r w:rsidRPr="008111D4">
              <w:rPr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sz w:val="22"/>
                <w:szCs w:val="22"/>
              </w:rPr>
              <w:t>peran</w:t>
            </w:r>
            <w:proofErr w:type="spellEnd"/>
            <w:r w:rsidRPr="008111D4">
              <w:rPr>
                <w:sz w:val="22"/>
                <w:szCs w:val="22"/>
              </w:rPr>
              <w:t xml:space="preserve"> dan </w:t>
            </w:r>
            <w:proofErr w:type="spellStart"/>
            <w:r w:rsidRPr="008111D4">
              <w:rPr>
                <w:sz w:val="22"/>
                <w:szCs w:val="22"/>
              </w:rPr>
              <w:t>sejarah</w:t>
            </w:r>
            <w:proofErr w:type="spellEnd"/>
            <w:r w:rsidRPr="008111D4">
              <w:rPr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sz w:val="22"/>
                <w:szCs w:val="22"/>
              </w:rPr>
              <w:t>akuntansi</w:t>
            </w:r>
            <w:proofErr w:type="spellEnd"/>
            <w:r w:rsidRPr="008111D4">
              <w:rPr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sz w:val="22"/>
                <w:szCs w:val="22"/>
              </w:rPr>
              <w:t>manajemen</w:t>
            </w:r>
            <w:proofErr w:type="spellEnd"/>
          </w:p>
        </w:tc>
        <w:tc>
          <w:tcPr>
            <w:tcW w:w="4536" w:type="dxa"/>
          </w:tcPr>
          <w:p w14:paraId="755B90A5" w14:textId="3A5E52AF" w:rsidR="00761AD8" w:rsidRPr="008111D4" w:rsidRDefault="00761AD8" w:rsidP="00347C7C">
            <w:pPr>
              <w:rPr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347C7C">
              <w:rPr>
                <w:rFonts w:eastAsia="Arial Narrow"/>
                <w:sz w:val="22"/>
                <w:szCs w:val="22"/>
              </w:rPr>
              <w:t>memahami</w:t>
            </w:r>
            <w:proofErr w:type="spellEnd"/>
            <w:r w:rsidR="00347C7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347C7C">
              <w:rPr>
                <w:rFonts w:eastAsia="Arial Narrow"/>
                <w:sz w:val="22"/>
                <w:szCs w:val="22"/>
              </w:rPr>
              <w:t>perkembangan</w:t>
            </w:r>
            <w:proofErr w:type="spellEnd"/>
            <w:r w:rsidR="00347C7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347C7C">
              <w:rPr>
                <w:rFonts w:eastAsia="Arial Narrow"/>
                <w:sz w:val="22"/>
                <w:szCs w:val="22"/>
              </w:rPr>
              <w:t>ilmu</w:t>
            </w:r>
            <w:proofErr w:type="spellEnd"/>
            <w:r w:rsidR="00347C7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347C7C">
              <w:rPr>
                <w:rFonts w:eastAsia="Arial Narrow"/>
                <w:sz w:val="22"/>
                <w:szCs w:val="22"/>
              </w:rPr>
              <w:t>akuntansi</w:t>
            </w:r>
            <w:proofErr w:type="spellEnd"/>
            <w:r w:rsidR="00347C7C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347C7C">
              <w:rPr>
                <w:rFonts w:eastAsia="Arial Narrow"/>
                <w:sz w:val="22"/>
                <w:szCs w:val="22"/>
              </w:rPr>
              <w:t>manajemen</w:t>
            </w:r>
            <w:proofErr w:type="spellEnd"/>
            <w:r w:rsidR="00347C7C">
              <w:rPr>
                <w:rFonts w:eastAsia="Arial Narrow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1E12C8F9" w14:textId="77777777" w:rsidR="00761AD8" w:rsidRDefault="00761AD8" w:rsidP="00761AD8">
            <w:pPr>
              <w:rPr>
                <w:sz w:val="22"/>
                <w:szCs w:val="22"/>
              </w:rPr>
            </w:pPr>
            <w:r w:rsidRPr="008111D4">
              <w:rPr>
                <w:sz w:val="22"/>
                <w:szCs w:val="22"/>
              </w:rPr>
              <w:t xml:space="preserve">Peran, Sejarah dan Arah </w:t>
            </w:r>
            <w:proofErr w:type="spellStart"/>
            <w:r w:rsidRPr="008111D4">
              <w:rPr>
                <w:sz w:val="22"/>
                <w:szCs w:val="22"/>
              </w:rPr>
              <w:t>Akuntansi</w:t>
            </w:r>
            <w:proofErr w:type="spellEnd"/>
            <w:r w:rsidRPr="008111D4">
              <w:rPr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sz w:val="22"/>
                <w:szCs w:val="22"/>
              </w:rPr>
              <w:t>Manajemen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0030A26" w14:textId="1F6F622C" w:rsidR="00761AD8" w:rsidRPr="00872882" w:rsidRDefault="00761AD8" w:rsidP="00761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Article: </w:t>
            </w:r>
            <w:r>
              <w:t>A Gap in Management Accounting Education: Fact or fiction?</w:t>
            </w:r>
          </w:p>
          <w:p w14:paraId="54C90340" w14:textId="12C225CE" w:rsidR="00761AD8" w:rsidRPr="008111D4" w:rsidRDefault="00761AD8" w:rsidP="00761AD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55FED8F" w14:textId="77777777" w:rsidR="00761AD8" w:rsidRPr="00872882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</w:p>
          <w:p w14:paraId="2C29643D" w14:textId="77777777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4AF7311B" w14:textId="2835435E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0823B473" w14:textId="77777777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71621EEF" w14:textId="77777777" w:rsidR="00761AD8" w:rsidRPr="008111D4" w:rsidRDefault="00761AD8" w:rsidP="00761AD8">
            <w:pPr>
              <w:rPr>
                <w:rFonts w:eastAsia="Arial Narrow"/>
                <w:sz w:val="22"/>
                <w:szCs w:val="22"/>
              </w:rPr>
            </w:pPr>
          </w:p>
          <w:p w14:paraId="73344C95" w14:textId="78822F14" w:rsidR="00761AD8" w:rsidRPr="008111D4" w:rsidRDefault="00761AD8" w:rsidP="00761AD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386AEDB6" w14:textId="5A988222" w:rsidR="00761AD8" w:rsidRPr="008111D4" w:rsidRDefault="00761AD8" w:rsidP="00761AD8">
            <w:pPr>
              <w:rPr>
                <w:sz w:val="22"/>
                <w:szCs w:val="22"/>
              </w:rPr>
            </w:pPr>
            <w:r w:rsidRPr="008111D4">
              <w:rPr>
                <w:sz w:val="22"/>
                <w:szCs w:val="22"/>
              </w:rPr>
              <w:t>HM</w:t>
            </w:r>
          </w:p>
        </w:tc>
      </w:tr>
      <w:tr w:rsidR="00761AD8" w:rsidRPr="008111D4" w14:paraId="7292A730" w14:textId="77777777" w:rsidTr="00257DCA">
        <w:tc>
          <w:tcPr>
            <w:tcW w:w="984" w:type="dxa"/>
          </w:tcPr>
          <w:p w14:paraId="0D4C466F" w14:textId="77777777" w:rsidR="00761AD8" w:rsidRPr="008111D4" w:rsidRDefault="00761AD8" w:rsidP="00761AD8">
            <w:pPr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4236B7BD" w14:textId="4E1A4973" w:rsidR="00761AD8" w:rsidRPr="008111D4" w:rsidRDefault="00761AD8" w:rsidP="00761AD8">
            <w:pPr>
              <w:rPr>
                <w:sz w:val="22"/>
                <w:szCs w:val="22"/>
              </w:rPr>
            </w:pPr>
            <w:r>
              <w:t>Pricing for higher education institutions</w:t>
            </w:r>
          </w:p>
        </w:tc>
        <w:tc>
          <w:tcPr>
            <w:tcW w:w="4536" w:type="dxa"/>
          </w:tcPr>
          <w:p w14:paraId="483395F7" w14:textId="77777777" w:rsidR="00761AD8" w:rsidRPr="008111D4" w:rsidRDefault="00761AD8" w:rsidP="00761AD8">
            <w:pPr>
              <w:rPr>
                <w:rFonts w:eastAsia="Arial Narrow"/>
                <w:sz w:val="22"/>
                <w:szCs w:val="22"/>
                <w:lang w:val="id-ID"/>
              </w:rPr>
            </w:pPr>
          </w:p>
          <w:p w14:paraId="7E0D096E" w14:textId="56F4C952" w:rsidR="00761AD8" w:rsidRPr="00761AD8" w:rsidRDefault="00761AD8" w:rsidP="00761AD8">
            <w:pPr>
              <w:rPr>
                <w:sz w:val="22"/>
                <w:szCs w:val="22"/>
                <w:lang w:val="en-ID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riset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ID"/>
              </w:rPr>
              <w:t>tentang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</w:t>
            </w:r>
            <w:r>
              <w:t>Pricing for higher education institutions</w:t>
            </w:r>
          </w:p>
        </w:tc>
        <w:tc>
          <w:tcPr>
            <w:tcW w:w="2551" w:type="dxa"/>
          </w:tcPr>
          <w:p w14:paraId="552FC5F5" w14:textId="33300E6A" w:rsidR="00761AD8" w:rsidRPr="008111D4" w:rsidRDefault="00761AD8" w:rsidP="00761AD8">
            <w:pPr>
              <w:rPr>
                <w:sz w:val="22"/>
                <w:szCs w:val="22"/>
              </w:rPr>
            </w:pPr>
            <w:r>
              <w:t>Pricing for higher education institutions</w:t>
            </w:r>
          </w:p>
        </w:tc>
        <w:tc>
          <w:tcPr>
            <w:tcW w:w="2552" w:type="dxa"/>
          </w:tcPr>
          <w:p w14:paraId="41C402AA" w14:textId="77777777" w:rsidR="00761AD8" w:rsidRPr="00872882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</w:p>
          <w:p w14:paraId="17A7007D" w14:textId="77777777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7CCA6EE2" w14:textId="53487A65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38CB0FE2" w14:textId="7D0CCC22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59005946" w14:textId="77777777" w:rsidR="00761AD8" w:rsidRPr="008111D4" w:rsidRDefault="00761AD8" w:rsidP="00761AD8">
            <w:pPr>
              <w:rPr>
                <w:rFonts w:eastAsia="Arial Narrow"/>
                <w:sz w:val="22"/>
                <w:szCs w:val="22"/>
              </w:rPr>
            </w:pPr>
          </w:p>
          <w:p w14:paraId="191DBC08" w14:textId="1A032ABE" w:rsidR="00761AD8" w:rsidRPr="008111D4" w:rsidRDefault="00761AD8" w:rsidP="00761AD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24C3474A" w14:textId="7E3F322F" w:rsidR="00761AD8" w:rsidRPr="006B2308" w:rsidRDefault="00761AD8" w:rsidP="00761AD8">
            <w:pPr>
              <w:jc w:val="both"/>
              <w:rPr>
                <w:sz w:val="22"/>
                <w:szCs w:val="22"/>
                <w:lang w:val="en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 w:rsidR="006B2308">
              <w:rPr>
                <w:sz w:val="22"/>
                <w:szCs w:val="22"/>
                <w:lang w:val="en-ID"/>
              </w:rPr>
              <w:t>S1</w:t>
            </w:r>
          </w:p>
        </w:tc>
      </w:tr>
      <w:tr w:rsidR="006B2308" w:rsidRPr="008111D4" w14:paraId="78128B62" w14:textId="77777777" w:rsidTr="00257DCA">
        <w:tc>
          <w:tcPr>
            <w:tcW w:w="984" w:type="dxa"/>
          </w:tcPr>
          <w:p w14:paraId="7F24DD50" w14:textId="77777777" w:rsidR="006B2308" w:rsidRPr="008111D4" w:rsidRDefault="006B2308" w:rsidP="006B2308">
            <w:pPr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444B3016" w14:textId="65CEFF4C" w:rsidR="006B2308" w:rsidRPr="008111D4" w:rsidRDefault="006B2308" w:rsidP="006B2308">
            <w:pPr>
              <w:rPr>
                <w:sz w:val="22"/>
                <w:szCs w:val="22"/>
              </w:rPr>
            </w:pPr>
            <w:r w:rsidRPr="00920ABA">
              <w:rPr>
                <w:sz w:val="22"/>
                <w:szCs w:val="22"/>
              </w:rPr>
              <w:t>Transfer pricing, earnings, and tax avoidance in Ghana</w:t>
            </w:r>
          </w:p>
        </w:tc>
        <w:tc>
          <w:tcPr>
            <w:tcW w:w="4536" w:type="dxa"/>
          </w:tcPr>
          <w:p w14:paraId="138096BC" w14:textId="67E4CC77" w:rsidR="006B2308" w:rsidRDefault="006B2308" w:rsidP="006B2308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 w:rsidRPr="00920ABA">
              <w:rPr>
                <w:sz w:val="22"/>
                <w:szCs w:val="22"/>
                <w:lang w:val="id-ID"/>
              </w:rPr>
              <w:t>Transfer pricing, earnings, and tax avoidance in Ghana</w:t>
            </w:r>
          </w:p>
        </w:tc>
        <w:tc>
          <w:tcPr>
            <w:tcW w:w="2551" w:type="dxa"/>
          </w:tcPr>
          <w:p w14:paraId="47235C80" w14:textId="0B28931F" w:rsidR="006B2308" w:rsidRPr="008111D4" w:rsidRDefault="006B2308" w:rsidP="006B2308">
            <w:pPr>
              <w:rPr>
                <w:sz w:val="22"/>
                <w:szCs w:val="22"/>
              </w:rPr>
            </w:pPr>
            <w:r w:rsidRPr="00920ABA">
              <w:rPr>
                <w:sz w:val="22"/>
                <w:szCs w:val="22"/>
                <w:lang w:val="id-ID"/>
              </w:rPr>
              <w:t>Transfer pricing, earnings, and tax avoidance in Ghana</w:t>
            </w:r>
          </w:p>
        </w:tc>
        <w:tc>
          <w:tcPr>
            <w:tcW w:w="2552" w:type="dxa"/>
          </w:tcPr>
          <w:p w14:paraId="75E17DD9" w14:textId="77777777" w:rsidR="006B2308" w:rsidRPr="00872882" w:rsidRDefault="006B2308" w:rsidP="006B2308">
            <w:pPr>
              <w:ind w:left="80"/>
              <w:rPr>
                <w:rFonts w:eastAsia="Arial Narrow"/>
                <w:sz w:val="22"/>
                <w:szCs w:val="22"/>
              </w:rPr>
            </w:pPr>
          </w:p>
          <w:p w14:paraId="66A5DEBF" w14:textId="77777777" w:rsidR="006B2308" w:rsidRPr="008111D4" w:rsidRDefault="006B2308" w:rsidP="006B230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045F3B67" w14:textId="07688C30" w:rsidR="006B2308" w:rsidRPr="008111D4" w:rsidRDefault="006B2308" w:rsidP="006B2308">
            <w:pPr>
              <w:ind w:left="80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2A003A13" w14:textId="5476951D" w:rsidR="006B2308" w:rsidRPr="008111D4" w:rsidRDefault="006B2308" w:rsidP="006B230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060876CE" w14:textId="77777777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</w:p>
          <w:p w14:paraId="2DF54DF5" w14:textId="2FBBC36C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36BC7CF5" w14:textId="0EB45ACD" w:rsidR="006B2308" w:rsidRPr="008111D4" w:rsidRDefault="006B2308" w:rsidP="006B2308">
            <w:pPr>
              <w:jc w:val="both"/>
              <w:rPr>
                <w:sz w:val="22"/>
                <w:szCs w:val="22"/>
                <w:lang w:val="id-ID"/>
              </w:rPr>
            </w:pPr>
            <w:r w:rsidRPr="008C6A90">
              <w:rPr>
                <w:sz w:val="22"/>
                <w:szCs w:val="22"/>
                <w:lang w:val="id-ID"/>
              </w:rPr>
              <w:t>B</w:t>
            </w:r>
            <w:r w:rsidRPr="008C6A90">
              <w:rPr>
                <w:sz w:val="22"/>
                <w:szCs w:val="22"/>
                <w:lang w:val="en-ID"/>
              </w:rPr>
              <w:t>S1</w:t>
            </w:r>
          </w:p>
        </w:tc>
      </w:tr>
      <w:tr w:rsidR="006B2308" w:rsidRPr="008111D4" w14:paraId="151EE770" w14:textId="77777777" w:rsidTr="00257DCA">
        <w:tc>
          <w:tcPr>
            <w:tcW w:w="984" w:type="dxa"/>
          </w:tcPr>
          <w:p w14:paraId="7A7A1A45" w14:textId="77777777" w:rsidR="006B2308" w:rsidRPr="008111D4" w:rsidRDefault="006B2308" w:rsidP="006B2308">
            <w:pPr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394ECA05" w14:textId="2B1B8BDB" w:rsidR="006B2308" w:rsidRPr="008111D4" w:rsidRDefault="006B2308" w:rsidP="006B2308">
            <w:pPr>
              <w:rPr>
                <w:sz w:val="22"/>
                <w:szCs w:val="22"/>
              </w:rPr>
            </w:pPr>
            <w:r>
              <w:t>Does Money Matter in Education?</w:t>
            </w:r>
          </w:p>
        </w:tc>
        <w:tc>
          <w:tcPr>
            <w:tcW w:w="4536" w:type="dxa"/>
          </w:tcPr>
          <w:p w14:paraId="1EA8EC86" w14:textId="1BF25297" w:rsidR="006B2308" w:rsidRDefault="006B2308" w:rsidP="006B2308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>
              <w:t xml:space="preserve"> Does Money Matter in Education?</w:t>
            </w:r>
          </w:p>
        </w:tc>
        <w:tc>
          <w:tcPr>
            <w:tcW w:w="2551" w:type="dxa"/>
          </w:tcPr>
          <w:p w14:paraId="518687D3" w14:textId="26523D3F" w:rsidR="006B2308" w:rsidRPr="008111D4" w:rsidRDefault="006B2308" w:rsidP="006B2308">
            <w:pPr>
              <w:rPr>
                <w:sz w:val="22"/>
                <w:szCs w:val="22"/>
              </w:rPr>
            </w:pPr>
            <w:r>
              <w:t>Does Money Matter in Education?</w:t>
            </w:r>
          </w:p>
        </w:tc>
        <w:tc>
          <w:tcPr>
            <w:tcW w:w="2552" w:type="dxa"/>
          </w:tcPr>
          <w:p w14:paraId="0951F3FA" w14:textId="77777777" w:rsidR="006B2308" w:rsidRPr="00872882" w:rsidRDefault="006B2308" w:rsidP="006B2308">
            <w:pPr>
              <w:ind w:left="80"/>
              <w:rPr>
                <w:rFonts w:eastAsia="Arial Narrow"/>
                <w:sz w:val="22"/>
                <w:szCs w:val="22"/>
              </w:rPr>
            </w:pPr>
          </w:p>
          <w:p w14:paraId="280975CB" w14:textId="77777777" w:rsidR="006B2308" w:rsidRPr="008111D4" w:rsidRDefault="006B2308" w:rsidP="006B230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0DF8BA86" w14:textId="57357F64" w:rsidR="006B2308" w:rsidRPr="008111D4" w:rsidRDefault="006B2308" w:rsidP="006B2308">
            <w:pPr>
              <w:ind w:left="80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6C1B846F" w14:textId="1A186EFD" w:rsidR="006B2308" w:rsidRPr="008111D4" w:rsidRDefault="006B2308" w:rsidP="006B230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06A359B6" w14:textId="77777777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</w:p>
          <w:p w14:paraId="051737CD" w14:textId="56F3D180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66C455DD" w14:textId="43B4E726" w:rsidR="006B2308" w:rsidRPr="008111D4" w:rsidRDefault="006B2308" w:rsidP="006B2308">
            <w:pPr>
              <w:jc w:val="both"/>
              <w:rPr>
                <w:sz w:val="22"/>
                <w:szCs w:val="22"/>
                <w:lang w:val="id-ID"/>
              </w:rPr>
            </w:pPr>
            <w:r w:rsidRPr="008C6A90">
              <w:rPr>
                <w:sz w:val="22"/>
                <w:szCs w:val="22"/>
                <w:lang w:val="id-ID"/>
              </w:rPr>
              <w:t>B</w:t>
            </w:r>
            <w:r w:rsidRPr="008C6A90">
              <w:rPr>
                <w:sz w:val="22"/>
                <w:szCs w:val="22"/>
                <w:lang w:val="en-ID"/>
              </w:rPr>
              <w:t>S1</w:t>
            </w:r>
          </w:p>
        </w:tc>
      </w:tr>
      <w:tr w:rsidR="00761AD8" w:rsidRPr="008111D4" w14:paraId="1B369EA0" w14:textId="77777777" w:rsidTr="00291446">
        <w:tc>
          <w:tcPr>
            <w:tcW w:w="984" w:type="dxa"/>
          </w:tcPr>
          <w:p w14:paraId="5DA17998" w14:textId="77777777" w:rsidR="00761AD8" w:rsidRPr="008111D4" w:rsidRDefault="00761AD8" w:rsidP="00761AD8">
            <w:pPr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  <w:tcBorders>
              <w:right w:val="single" w:sz="4" w:space="0" w:color="000000"/>
            </w:tcBorders>
          </w:tcPr>
          <w:p w14:paraId="16C2A81E" w14:textId="3F9DC605" w:rsidR="00761AD8" w:rsidRPr="008111D4" w:rsidRDefault="00332F84" w:rsidP="00761AD8">
            <w:pPr>
              <w:rPr>
                <w:sz w:val="22"/>
                <w:szCs w:val="22"/>
              </w:rPr>
            </w:pPr>
            <w:r>
              <w:t>The Fiscal Context and the Role</w:t>
            </w:r>
            <w:r w:rsidR="002D4AD2">
              <w:t xml:space="preserve"> </w:t>
            </w:r>
            <w:r>
              <w:t>of the Budget Manager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44B84FF4" w14:textId="3D8651F3" w:rsidR="00761AD8" w:rsidRDefault="00761AD8" w:rsidP="00761AD8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 w:rsidR="00332F84">
              <w:t>The Fiscal Context and the Role</w:t>
            </w:r>
            <w:r w:rsidR="00C57762">
              <w:t xml:space="preserve"> </w:t>
            </w:r>
            <w:r w:rsidR="00332F84">
              <w:t>of the Budget Manager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DE0214C" w14:textId="22C295D2" w:rsidR="00761AD8" w:rsidRPr="008111D4" w:rsidRDefault="00332F84" w:rsidP="00761AD8">
            <w:pPr>
              <w:rPr>
                <w:sz w:val="22"/>
                <w:szCs w:val="22"/>
              </w:rPr>
            </w:pPr>
            <w:r>
              <w:t>The Fiscal Context and the Role</w:t>
            </w:r>
            <w:r w:rsidR="002D4AD2">
              <w:t xml:space="preserve"> </w:t>
            </w:r>
            <w:r>
              <w:t>of the Budget Manager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19D1DBE3" w14:textId="77777777" w:rsidR="00761AD8" w:rsidRPr="00872882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</w:p>
          <w:p w14:paraId="22ED56C1" w14:textId="77777777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0625E1F0" w14:textId="4DC64328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lastRenderedPageBreak/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355A2ED4" w14:textId="76597406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2A6CE53A" w14:textId="77777777" w:rsidR="00761AD8" w:rsidRPr="008111D4" w:rsidRDefault="00761AD8" w:rsidP="00761AD8">
            <w:pPr>
              <w:rPr>
                <w:rFonts w:eastAsia="Arial Narrow"/>
                <w:sz w:val="22"/>
                <w:szCs w:val="22"/>
              </w:rPr>
            </w:pPr>
          </w:p>
          <w:p w14:paraId="5F53F881" w14:textId="6E8326F0" w:rsidR="00761AD8" w:rsidRPr="008111D4" w:rsidRDefault="00761AD8" w:rsidP="00761AD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lastRenderedPageBreak/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14:paraId="3371437B" w14:textId="410755E6" w:rsidR="00761AD8" w:rsidRPr="00332F84" w:rsidRDefault="006B2308" w:rsidP="00761AD8">
            <w:pPr>
              <w:jc w:val="both"/>
              <w:rPr>
                <w:sz w:val="22"/>
                <w:szCs w:val="22"/>
                <w:lang w:val="en-ID"/>
              </w:rPr>
            </w:pPr>
            <w:r w:rsidRPr="008111D4">
              <w:rPr>
                <w:sz w:val="22"/>
                <w:szCs w:val="22"/>
                <w:lang w:val="id-ID"/>
              </w:rPr>
              <w:lastRenderedPageBreak/>
              <w:t>B</w:t>
            </w:r>
            <w:r>
              <w:rPr>
                <w:sz w:val="22"/>
                <w:szCs w:val="22"/>
                <w:lang w:val="en-ID"/>
              </w:rPr>
              <w:t>S1</w:t>
            </w:r>
          </w:p>
        </w:tc>
      </w:tr>
      <w:tr w:rsidR="00761AD8" w:rsidRPr="008111D4" w14:paraId="4B280047" w14:textId="77777777" w:rsidTr="00257DCA">
        <w:tc>
          <w:tcPr>
            <w:tcW w:w="984" w:type="dxa"/>
          </w:tcPr>
          <w:p w14:paraId="19702AE8" w14:textId="77777777" w:rsidR="00761AD8" w:rsidRPr="008111D4" w:rsidRDefault="00761AD8" w:rsidP="00761AD8">
            <w:pPr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  <w:tcBorders>
              <w:right w:val="single" w:sz="4" w:space="0" w:color="000000"/>
            </w:tcBorders>
          </w:tcPr>
          <w:p w14:paraId="7F2AC465" w14:textId="0349F6CF" w:rsidR="00761AD8" w:rsidRPr="008111D4" w:rsidRDefault="00332F84" w:rsidP="00761AD8">
            <w:pPr>
              <w:rPr>
                <w:sz w:val="22"/>
                <w:szCs w:val="22"/>
              </w:rPr>
            </w:pPr>
            <w:r>
              <w:t>Primary Elements of the Budget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26BD46C9" w14:textId="487AEE83" w:rsidR="00761AD8" w:rsidRDefault="00761AD8" w:rsidP="00761AD8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 w:rsidR="00332F84">
              <w:t>Primary Elements of the Budget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46515CAB" w14:textId="306C1B78" w:rsidR="00761AD8" w:rsidRPr="008111D4" w:rsidRDefault="00332F84" w:rsidP="00761AD8">
            <w:pPr>
              <w:rPr>
                <w:sz w:val="22"/>
                <w:szCs w:val="22"/>
              </w:rPr>
            </w:pPr>
            <w:r>
              <w:t>Primary Elements of the Budget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00C7B364" w14:textId="77777777" w:rsidR="00761AD8" w:rsidRPr="00872882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</w:p>
          <w:p w14:paraId="0839A340" w14:textId="77777777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26389044" w14:textId="2A366069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2D396220" w14:textId="630340A7" w:rsidR="00761AD8" w:rsidRPr="008111D4" w:rsidRDefault="00761AD8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01EF85C4" w14:textId="77777777" w:rsidR="00761AD8" w:rsidRPr="008111D4" w:rsidRDefault="00761AD8" w:rsidP="00761AD8">
            <w:pPr>
              <w:rPr>
                <w:rFonts w:eastAsia="Arial Narrow"/>
                <w:sz w:val="22"/>
                <w:szCs w:val="22"/>
              </w:rPr>
            </w:pPr>
          </w:p>
          <w:p w14:paraId="0A9EBEBA" w14:textId="2E5AAFE8" w:rsidR="00761AD8" w:rsidRPr="008111D4" w:rsidRDefault="00761AD8" w:rsidP="00761AD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14:paraId="0707A3EA" w14:textId="65F1B18F" w:rsidR="00761AD8" w:rsidRPr="00332F84" w:rsidRDefault="006B2308" w:rsidP="00761AD8">
            <w:pPr>
              <w:jc w:val="both"/>
              <w:rPr>
                <w:sz w:val="22"/>
                <w:szCs w:val="22"/>
                <w:lang w:val="en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>
              <w:rPr>
                <w:sz w:val="22"/>
                <w:szCs w:val="22"/>
                <w:lang w:val="en-ID"/>
              </w:rPr>
              <w:t>S1</w:t>
            </w:r>
          </w:p>
        </w:tc>
      </w:tr>
      <w:tr w:rsidR="00933D5A" w:rsidRPr="008111D4" w14:paraId="063F2FC9" w14:textId="77777777" w:rsidTr="007A2272">
        <w:tc>
          <w:tcPr>
            <w:tcW w:w="984" w:type="dxa"/>
          </w:tcPr>
          <w:p w14:paraId="38D2E34E" w14:textId="77777777" w:rsidR="00933D5A" w:rsidRPr="00332F84" w:rsidRDefault="00933D5A" w:rsidP="00933D5A">
            <w:pPr>
              <w:pStyle w:val="ListParagraph"/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0D6706DF" w14:textId="77777777" w:rsidR="00933D5A" w:rsidRPr="008111D4" w:rsidRDefault="00933D5A" w:rsidP="00933D5A">
            <w:pPr>
              <w:rPr>
                <w:sz w:val="22"/>
                <w:szCs w:val="22"/>
                <w:lang w:val="id-ID"/>
              </w:rPr>
            </w:pPr>
            <w:r w:rsidRPr="008111D4">
              <w:rPr>
                <w:sz w:val="22"/>
                <w:szCs w:val="22"/>
                <w:lang w:val="id-ID"/>
              </w:rPr>
              <w:t>Managerial Accounting in Singapore</w:t>
            </w:r>
          </w:p>
        </w:tc>
        <w:tc>
          <w:tcPr>
            <w:tcW w:w="4536" w:type="dxa"/>
          </w:tcPr>
          <w:p w14:paraId="447F6331" w14:textId="77777777" w:rsidR="00933D5A" w:rsidRPr="008111D4" w:rsidRDefault="00933D5A" w:rsidP="00933D5A">
            <w:pPr>
              <w:rPr>
                <w:rFonts w:eastAsia="Arial Narrow"/>
                <w:sz w:val="22"/>
                <w:szCs w:val="22"/>
                <w:lang w:val="id-ID"/>
              </w:rPr>
            </w:pPr>
          </w:p>
          <w:p w14:paraId="660D21E5" w14:textId="77777777" w:rsidR="00933D5A" w:rsidRPr="008111D4" w:rsidRDefault="00933D5A" w:rsidP="00933D5A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kemam</w:t>
            </w:r>
            <w:r w:rsidRPr="008111D4">
              <w:rPr>
                <w:rFonts w:eastAsia="Arial Narrow"/>
                <w:sz w:val="22"/>
                <w:szCs w:val="22"/>
              </w:rPr>
              <w:t>puan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 w:rsidRPr="008111D4">
              <w:rPr>
                <w:rFonts w:eastAsia="Arial Narrow"/>
                <w:sz w:val="22"/>
                <w:szCs w:val="22"/>
                <w:lang w:val="id-ID"/>
              </w:rPr>
              <w:t>m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en</w:t>
            </w:r>
            <w:proofErr w:type="spellEnd"/>
            <w:r w:rsidRPr="008111D4">
              <w:rPr>
                <w:rFonts w:eastAsia="Arial Narrow"/>
                <w:sz w:val="22"/>
                <w:szCs w:val="22"/>
                <w:lang w:val="id-ID"/>
              </w:rPr>
              <w:t xml:space="preserve">jelaskan </w:t>
            </w:r>
            <w:r w:rsidRPr="008111D4">
              <w:rPr>
                <w:sz w:val="22"/>
                <w:szCs w:val="22"/>
                <w:lang w:val="id-ID"/>
              </w:rPr>
              <w:t>Aplikasi MA di Singapura</w:t>
            </w:r>
            <w:r w:rsidRPr="00811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20DA38E4" w14:textId="77777777" w:rsidR="00933D5A" w:rsidRPr="008111D4" w:rsidRDefault="00933D5A" w:rsidP="00933D5A">
            <w:pPr>
              <w:rPr>
                <w:sz w:val="22"/>
                <w:szCs w:val="22"/>
                <w:lang w:val="id-ID"/>
              </w:rPr>
            </w:pPr>
            <w:r w:rsidRPr="008111D4">
              <w:rPr>
                <w:sz w:val="22"/>
                <w:szCs w:val="22"/>
                <w:lang w:val="id-ID"/>
              </w:rPr>
              <w:t>Aplikasi MA di Singapura</w:t>
            </w:r>
          </w:p>
        </w:tc>
        <w:tc>
          <w:tcPr>
            <w:tcW w:w="2552" w:type="dxa"/>
          </w:tcPr>
          <w:p w14:paraId="6EC54F7A" w14:textId="77777777" w:rsidR="00933D5A" w:rsidRPr="00872882" w:rsidRDefault="00933D5A" w:rsidP="00933D5A">
            <w:pPr>
              <w:ind w:left="80"/>
              <w:rPr>
                <w:rFonts w:eastAsia="Arial Narrow"/>
                <w:sz w:val="22"/>
                <w:szCs w:val="22"/>
              </w:rPr>
            </w:pPr>
          </w:p>
          <w:p w14:paraId="2286F48E" w14:textId="77777777" w:rsidR="00933D5A" w:rsidRPr="008111D4" w:rsidRDefault="00933D5A" w:rsidP="00933D5A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2E60C188" w14:textId="187E41AD" w:rsidR="00933D5A" w:rsidRPr="008111D4" w:rsidRDefault="00933D5A" w:rsidP="00933D5A">
            <w:pPr>
              <w:ind w:left="80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50ED3EFE" w14:textId="77777777" w:rsidR="00933D5A" w:rsidRPr="008111D4" w:rsidRDefault="00933D5A" w:rsidP="00933D5A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38968624" w14:textId="77777777" w:rsidR="00933D5A" w:rsidRPr="008111D4" w:rsidRDefault="00933D5A" w:rsidP="00933D5A">
            <w:pPr>
              <w:rPr>
                <w:rFonts w:eastAsia="Arial Narrow"/>
                <w:sz w:val="22"/>
                <w:szCs w:val="22"/>
              </w:rPr>
            </w:pPr>
          </w:p>
          <w:p w14:paraId="01A4F430" w14:textId="755AEDE4" w:rsidR="00933D5A" w:rsidRPr="008111D4" w:rsidRDefault="00933D5A" w:rsidP="00933D5A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30389880" w14:textId="4B559C4A" w:rsidR="00933D5A" w:rsidRPr="008111D4" w:rsidRDefault="00933D5A" w:rsidP="00933D5A">
            <w:pPr>
              <w:jc w:val="both"/>
              <w:rPr>
                <w:sz w:val="22"/>
                <w:szCs w:val="22"/>
                <w:lang w:val="id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>
              <w:rPr>
                <w:sz w:val="22"/>
                <w:szCs w:val="22"/>
                <w:lang w:val="en-ID"/>
              </w:rPr>
              <w:t>S</w:t>
            </w:r>
            <w:r w:rsidR="006B2308">
              <w:rPr>
                <w:sz w:val="22"/>
                <w:szCs w:val="22"/>
                <w:lang w:val="en-ID"/>
              </w:rPr>
              <w:t>3</w:t>
            </w:r>
          </w:p>
        </w:tc>
      </w:tr>
      <w:tr w:rsidR="00933D5A" w:rsidRPr="008111D4" w14:paraId="44642553" w14:textId="77777777" w:rsidTr="007A2272">
        <w:tc>
          <w:tcPr>
            <w:tcW w:w="984" w:type="dxa"/>
          </w:tcPr>
          <w:p w14:paraId="4118E35C" w14:textId="77777777" w:rsidR="00933D5A" w:rsidRPr="00332F84" w:rsidRDefault="00933D5A" w:rsidP="00933D5A">
            <w:pPr>
              <w:pStyle w:val="ListParagraph"/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2D71E7E" w14:textId="77777777" w:rsidR="00933D5A" w:rsidRPr="008111D4" w:rsidRDefault="00933D5A" w:rsidP="00933D5A">
            <w:pPr>
              <w:rPr>
                <w:sz w:val="22"/>
                <w:szCs w:val="22"/>
              </w:rPr>
            </w:pPr>
            <w:r w:rsidRPr="008111D4">
              <w:rPr>
                <w:sz w:val="22"/>
                <w:szCs w:val="22"/>
              </w:rPr>
              <w:t>Constructing Indicator System Scorecard in Higher Education</w:t>
            </w:r>
          </w:p>
        </w:tc>
        <w:tc>
          <w:tcPr>
            <w:tcW w:w="4536" w:type="dxa"/>
          </w:tcPr>
          <w:p w14:paraId="41B9B6AB" w14:textId="77777777" w:rsidR="00933D5A" w:rsidRPr="008111D4" w:rsidRDefault="00933D5A" w:rsidP="00933D5A">
            <w:pPr>
              <w:rPr>
                <w:rFonts w:eastAsia="Arial Narrow"/>
                <w:sz w:val="22"/>
                <w:szCs w:val="22"/>
                <w:lang w:val="id-ID"/>
              </w:rPr>
            </w:pPr>
          </w:p>
          <w:p w14:paraId="0CA1915F" w14:textId="77777777" w:rsidR="00933D5A" w:rsidRPr="008111D4" w:rsidRDefault="00933D5A" w:rsidP="00933D5A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kemam</w:t>
            </w:r>
            <w:r w:rsidRPr="008111D4">
              <w:rPr>
                <w:rFonts w:eastAsia="Arial Narrow"/>
                <w:sz w:val="22"/>
                <w:szCs w:val="22"/>
              </w:rPr>
              <w:t>puan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 w:rsidRPr="008111D4">
              <w:rPr>
                <w:rFonts w:eastAsia="Arial Narrow"/>
                <w:sz w:val="22"/>
                <w:szCs w:val="22"/>
                <w:lang w:val="id-ID"/>
              </w:rPr>
              <w:t>m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en</w:t>
            </w:r>
            <w:proofErr w:type="spellEnd"/>
            <w:r w:rsidRPr="008111D4">
              <w:rPr>
                <w:rFonts w:eastAsia="Arial Narrow"/>
                <w:sz w:val="22"/>
                <w:szCs w:val="22"/>
                <w:lang w:val="id-ID"/>
              </w:rPr>
              <w:t xml:space="preserve">jelaskan </w:t>
            </w:r>
            <w:r w:rsidRPr="008111D4">
              <w:rPr>
                <w:sz w:val="22"/>
                <w:szCs w:val="22"/>
                <w:lang w:val="id-ID"/>
              </w:rPr>
              <w:t>Indikator BSC di PT</w:t>
            </w:r>
            <w:r w:rsidRPr="008111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2D52956C" w14:textId="77777777" w:rsidR="00933D5A" w:rsidRPr="00CB71BF" w:rsidRDefault="00933D5A" w:rsidP="00933D5A">
            <w:pPr>
              <w:rPr>
                <w:sz w:val="22"/>
                <w:szCs w:val="22"/>
                <w:lang w:val="en-ID"/>
              </w:rPr>
            </w:pPr>
            <w:r w:rsidRPr="008111D4">
              <w:rPr>
                <w:sz w:val="22"/>
                <w:szCs w:val="22"/>
                <w:lang w:val="id-ID"/>
              </w:rPr>
              <w:t>Indikator BSC di PT</w:t>
            </w:r>
            <w:r>
              <w:rPr>
                <w:sz w:val="22"/>
                <w:szCs w:val="22"/>
                <w:lang w:val="en-ID"/>
              </w:rPr>
              <w:t xml:space="preserve"> di Indonesia</w:t>
            </w:r>
          </w:p>
        </w:tc>
        <w:tc>
          <w:tcPr>
            <w:tcW w:w="2552" w:type="dxa"/>
          </w:tcPr>
          <w:p w14:paraId="543B14A5" w14:textId="77777777" w:rsidR="00933D5A" w:rsidRPr="00872882" w:rsidRDefault="00933D5A" w:rsidP="00933D5A">
            <w:pPr>
              <w:ind w:left="80"/>
              <w:rPr>
                <w:rFonts w:eastAsia="Arial Narrow"/>
                <w:sz w:val="22"/>
                <w:szCs w:val="22"/>
              </w:rPr>
            </w:pPr>
          </w:p>
          <w:p w14:paraId="7993D18F" w14:textId="77777777" w:rsidR="00933D5A" w:rsidRPr="008111D4" w:rsidRDefault="00933D5A" w:rsidP="00933D5A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36DB5010" w14:textId="24783C66" w:rsidR="00933D5A" w:rsidRPr="008111D4" w:rsidRDefault="00933D5A" w:rsidP="00933D5A">
            <w:pPr>
              <w:ind w:left="80"/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169B4C0F" w14:textId="77777777" w:rsidR="00933D5A" w:rsidRPr="008111D4" w:rsidRDefault="00933D5A" w:rsidP="00933D5A">
            <w:pPr>
              <w:ind w:left="80"/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5EC1918C" w14:textId="77777777" w:rsidR="00933D5A" w:rsidRPr="008111D4" w:rsidRDefault="00933D5A" w:rsidP="00933D5A">
            <w:pPr>
              <w:rPr>
                <w:rFonts w:eastAsia="Arial Narrow"/>
                <w:sz w:val="22"/>
                <w:szCs w:val="22"/>
              </w:rPr>
            </w:pPr>
          </w:p>
          <w:p w14:paraId="42F9873E" w14:textId="0FAE4999" w:rsidR="00933D5A" w:rsidRPr="008111D4" w:rsidRDefault="00933D5A" w:rsidP="00933D5A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79C63820" w14:textId="3CFE2C7A" w:rsidR="00933D5A" w:rsidRPr="008111D4" w:rsidRDefault="00933D5A" w:rsidP="00933D5A">
            <w:pPr>
              <w:jc w:val="both"/>
              <w:rPr>
                <w:sz w:val="22"/>
                <w:szCs w:val="22"/>
                <w:lang w:val="id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>
              <w:rPr>
                <w:sz w:val="22"/>
                <w:szCs w:val="22"/>
                <w:lang w:val="en-ID"/>
              </w:rPr>
              <w:t>S</w:t>
            </w:r>
            <w:r w:rsidR="006B2308">
              <w:rPr>
                <w:sz w:val="22"/>
                <w:szCs w:val="22"/>
                <w:lang w:val="en-ID"/>
              </w:rPr>
              <w:t>4</w:t>
            </w:r>
          </w:p>
        </w:tc>
      </w:tr>
      <w:tr w:rsidR="00761AD8" w:rsidRPr="008111D4" w14:paraId="157789C3" w14:textId="77777777" w:rsidTr="00257DCA">
        <w:tc>
          <w:tcPr>
            <w:tcW w:w="984" w:type="dxa"/>
          </w:tcPr>
          <w:p w14:paraId="5579FD89" w14:textId="77777777" w:rsidR="00761AD8" w:rsidRPr="00332F84" w:rsidRDefault="00761AD8" w:rsidP="00332F84">
            <w:pPr>
              <w:pStyle w:val="ListParagraph"/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  <w:tcBorders>
              <w:right w:val="single" w:sz="4" w:space="0" w:color="000000"/>
            </w:tcBorders>
          </w:tcPr>
          <w:p w14:paraId="440046DD" w14:textId="4B003B43" w:rsidR="00761AD8" w:rsidRPr="008111D4" w:rsidRDefault="00885857" w:rsidP="00761AD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Subkompetensi</w:t>
            </w:r>
            <w:proofErr w:type="spellEnd"/>
            <w:r>
              <w:rPr>
                <w:sz w:val="22"/>
                <w:szCs w:val="22"/>
              </w:rPr>
              <w:t xml:space="preserve"> 1-8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59AB5ACF" w14:textId="4B533E55" w:rsidR="00761AD8" w:rsidRPr="00382383" w:rsidRDefault="00761AD8" w:rsidP="00761AD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mem</w:t>
            </w:r>
            <w:r w:rsidR="00885857">
              <w:rPr>
                <w:rFonts w:eastAsia="Arial Narrow"/>
                <w:sz w:val="22"/>
                <w:szCs w:val="22"/>
              </w:rPr>
              <w:t>i</w:t>
            </w:r>
            <w:r>
              <w:rPr>
                <w:rFonts w:eastAsia="Arial Narrow"/>
                <w:sz w:val="22"/>
                <w:szCs w:val="22"/>
              </w:rPr>
              <w:t>liki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885857">
              <w:rPr>
                <w:rFonts w:eastAsia="Arial Narrow"/>
                <w:sz w:val="22"/>
                <w:szCs w:val="22"/>
              </w:rPr>
              <w:t>subkompetensi</w:t>
            </w:r>
            <w:proofErr w:type="spellEnd"/>
            <w:r w:rsidR="00885857">
              <w:rPr>
                <w:rFonts w:eastAsia="Arial Narrow"/>
                <w:sz w:val="22"/>
                <w:szCs w:val="22"/>
              </w:rPr>
              <w:t xml:space="preserve"> 1-8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DC79ED4" w14:textId="05180BCE" w:rsidR="00761AD8" w:rsidRPr="00682B2A" w:rsidRDefault="00761AD8" w:rsidP="00761AD8">
            <w:pPr>
              <w:rPr>
                <w:sz w:val="22"/>
                <w:szCs w:val="22"/>
                <w:lang w:val="id-ID"/>
              </w:rPr>
            </w:pPr>
            <w:r w:rsidRPr="00CB71BF">
              <w:rPr>
                <w:b/>
                <w:sz w:val="22"/>
                <w:szCs w:val="22"/>
              </w:rPr>
              <w:t>MID TERM TEST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0E24E683" w14:textId="301D59F8" w:rsidR="00761AD8" w:rsidRPr="00872882" w:rsidRDefault="00885857" w:rsidP="00761AD8">
            <w:pPr>
              <w:ind w:left="80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Test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38ABEB9C" w14:textId="1EBB5C94" w:rsidR="00761AD8" w:rsidRPr="008111D4" w:rsidRDefault="00761AD8" w:rsidP="00761AD8">
            <w:pPr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>O/S Test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14:paraId="367A861B" w14:textId="34110812" w:rsidR="00761AD8" w:rsidRPr="00885857" w:rsidRDefault="00885857" w:rsidP="00761AD8">
            <w:pPr>
              <w:jc w:val="both"/>
              <w:rPr>
                <w:sz w:val="22"/>
                <w:szCs w:val="22"/>
                <w:lang w:val="en-ID"/>
              </w:rPr>
            </w:pPr>
            <w:r>
              <w:rPr>
                <w:sz w:val="22"/>
                <w:szCs w:val="22"/>
                <w:lang w:val="en-ID"/>
              </w:rPr>
              <w:t xml:space="preserve">Materi </w:t>
            </w:r>
            <w:proofErr w:type="spellStart"/>
            <w:r>
              <w:rPr>
                <w:sz w:val="22"/>
                <w:szCs w:val="22"/>
                <w:lang w:val="en-ID"/>
              </w:rPr>
              <w:t>sesi</w:t>
            </w:r>
            <w:proofErr w:type="spellEnd"/>
            <w:r>
              <w:rPr>
                <w:sz w:val="22"/>
                <w:szCs w:val="22"/>
                <w:lang w:val="en-ID"/>
              </w:rPr>
              <w:t xml:space="preserve"> 1 -  8</w:t>
            </w:r>
          </w:p>
        </w:tc>
      </w:tr>
      <w:tr w:rsidR="00CB4E1E" w:rsidRPr="008111D4" w14:paraId="446AFEFF" w14:textId="77777777" w:rsidTr="00257DCA">
        <w:trPr>
          <w:trHeight w:val="480"/>
        </w:trPr>
        <w:tc>
          <w:tcPr>
            <w:tcW w:w="984" w:type="dxa"/>
            <w:vAlign w:val="center"/>
          </w:tcPr>
          <w:p w14:paraId="07DD5A8D" w14:textId="77777777" w:rsidR="00CB4E1E" w:rsidRPr="00332F84" w:rsidRDefault="00CB4E1E" w:rsidP="00CB4E1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  <w:tcBorders>
              <w:right w:val="single" w:sz="4" w:space="0" w:color="000000"/>
            </w:tcBorders>
          </w:tcPr>
          <w:p w14:paraId="51E790E3" w14:textId="1DE14107" w:rsidR="00CB4E1E" w:rsidRPr="008111D4" w:rsidRDefault="00CB4E1E" w:rsidP="00CB4E1E">
            <w:pPr>
              <w:rPr>
                <w:sz w:val="22"/>
                <w:szCs w:val="22"/>
              </w:rPr>
            </w:pPr>
            <w:r>
              <w:t>Understanding Budgets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3BAE411D" w14:textId="1CDBFE3E" w:rsidR="00CB4E1E" w:rsidRDefault="00CB4E1E" w:rsidP="00CB4E1E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>
              <w:t>Understanding Budgets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2704B78D" w14:textId="5E1D2F6A" w:rsidR="00CB4E1E" w:rsidRPr="008111D4" w:rsidRDefault="00CB4E1E" w:rsidP="00CB4E1E">
            <w:pPr>
              <w:rPr>
                <w:sz w:val="22"/>
                <w:szCs w:val="22"/>
              </w:rPr>
            </w:pPr>
            <w:r>
              <w:t>Understanding Budgets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247F1089" w14:textId="77777777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39AA1224" w14:textId="47C86B2C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4AE8949A" w14:textId="4C86B5A9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57E61826" w14:textId="77777777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</w:p>
          <w:p w14:paraId="402EE7B5" w14:textId="31EB12E9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14:paraId="627BDA1A" w14:textId="18A223A6" w:rsidR="00CB4E1E" w:rsidRPr="008111D4" w:rsidRDefault="00CB4E1E" w:rsidP="00CB4E1E">
            <w:pPr>
              <w:jc w:val="both"/>
              <w:rPr>
                <w:sz w:val="22"/>
                <w:szCs w:val="22"/>
                <w:lang w:val="id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>
              <w:rPr>
                <w:sz w:val="22"/>
                <w:szCs w:val="22"/>
                <w:lang w:val="en-ID"/>
              </w:rPr>
              <w:t>S</w:t>
            </w:r>
            <w:r w:rsidR="006B2308">
              <w:rPr>
                <w:sz w:val="22"/>
                <w:szCs w:val="22"/>
                <w:lang w:val="en-ID"/>
              </w:rPr>
              <w:t>1</w:t>
            </w:r>
          </w:p>
        </w:tc>
      </w:tr>
      <w:tr w:rsidR="00CB4E1E" w:rsidRPr="008111D4" w14:paraId="568E53D4" w14:textId="77777777" w:rsidTr="00257DCA">
        <w:tc>
          <w:tcPr>
            <w:tcW w:w="984" w:type="dxa"/>
          </w:tcPr>
          <w:p w14:paraId="57C55786" w14:textId="77777777" w:rsidR="00CB4E1E" w:rsidRPr="00332F84" w:rsidRDefault="00CB4E1E" w:rsidP="00CB4E1E">
            <w:pPr>
              <w:pStyle w:val="ListParagraph"/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  <w:tcBorders>
              <w:right w:val="single" w:sz="4" w:space="0" w:color="000000"/>
            </w:tcBorders>
          </w:tcPr>
          <w:p w14:paraId="48BB962E" w14:textId="256C0839" w:rsidR="00CB4E1E" w:rsidRPr="008111D4" w:rsidRDefault="00CB4E1E" w:rsidP="00CB4E1E">
            <w:pPr>
              <w:rPr>
                <w:sz w:val="22"/>
                <w:szCs w:val="22"/>
              </w:rPr>
            </w:pPr>
            <w:r>
              <w:t>Why look at school funding policies?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</w:tcPr>
          <w:p w14:paraId="5F7D4F21" w14:textId="419F47AC" w:rsidR="00CB4E1E" w:rsidRDefault="00CB4E1E" w:rsidP="00CB4E1E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>
              <w:t>Why look at school funding policies?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65519ED2" w14:textId="53F1507B" w:rsidR="00CB4E1E" w:rsidRPr="008111D4" w:rsidRDefault="00CB4E1E" w:rsidP="00CB4E1E">
            <w:pPr>
              <w:rPr>
                <w:sz w:val="22"/>
                <w:szCs w:val="22"/>
              </w:rPr>
            </w:pPr>
            <w:r>
              <w:t>Why look at school funding policies?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37A27E7C" w14:textId="77777777" w:rsidR="00CB4E1E" w:rsidRPr="00872882" w:rsidRDefault="00CB4E1E" w:rsidP="00CB4E1E">
            <w:pPr>
              <w:rPr>
                <w:rFonts w:eastAsia="Arial Narrow"/>
                <w:sz w:val="22"/>
                <w:szCs w:val="22"/>
              </w:rPr>
            </w:pPr>
          </w:p>
          <w:p w14:paraId="6FDB3C14" w14:textId="77777777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489CADB9" w14:textId="7B12EF32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54AB6056" w14:textId="3DC15FC2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14:paraId="7DB64610" w14:textId="77777777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</w:p>
          <w:p w14:paraId="679AECA4" w14:textId="3B1CC2DF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14:paraId="3D7542BE" w14:textId="36E9A83F" w:rsidR="00CB4E1E" w:rsidRPr="009934A0" w:rsidRDefault="00CB4E1E" w:rsidP="00CB4E1E">
            <w:pPr>
              <w:rPr>
                <w:sz w:val="22"/>
                <w:szCs w:val="22"/>
                <w:lang w:val="en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>
              <w:rPr>
                <w:sz w:val="22"/>
                <w:szCs w:val="22"/>
                <w:lang w:val="en-ID"/>
              </w:rPr>
              <w:t>S</w:t>
            </w:r>
            <w:r w:rsidR="006B2308">
              <w:rPr>
                <w:sz w:val="22"/>
                <w:szCs w:val="22"/>
                <w:lang w:val="en-ID"/>
              </w:rPr>
              <w:t>2</w:t>
            </w:r>
          </w:p>
        </w:tc>
      </w:tr>
      <w:tr w:rsidR="006B2308" w:rsidRPr="008111D4" w14:paraId="3B87AEFC" w14:textId="77777777" w:rsidTr="00257DCA">
        <w:tc>
          <w:tcPr>
            <w:tcW w:w="984" w:type="dxa"/>
          </w:tcPr>
          <w:p w14:paraId="2D32DFEE" w14:textId="77777777" w:rsidR="006B2308" w:rsidRPr="00332F84" w:rsidRDefault="006B2308" w:rsidP="006B2308">
            <w:pPr>
              <w:pStyle w:val="ListParagraph"/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13C5873A" w14:textId="15076A9C" w:rsidR="006B2308" w:rsidRPr="008111D4" w:rsidRDefault="006B2308" w:rsidP="006B2308">
            <w:pPr>
              <w:rPr>
                <w:sz w:val="22"/>
                <w:szCs w:val="22"/>
              </w:rPr>
            </w:pPr>
            <w:r>
              <w:t>Governing school funding</w:t>
            </w:r>
          </w:p>
        </w:tc>
        <w:tc>
          <w:tcPr>
            <w:tcW w:w="4536" w:type="dxa"/>
          </w:tcPr>
          <w:p w14:paraId="1BE186C7" w14:textId="095AE343" w:rsidR="006B2308" w:rsidRDefault="006B2308" w:rsidP="006B2308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>
              <w:t>Governing school funding</w:t>
            </w:r>
          </w:p>
        </w:tc>
        <w:tc>
          <w:tcPr>
            <w:tcW w:w="2551" w:type="dxa"/>
          </w:tcPr>
          <w:p w14:paraId="35FC3771" w14:textId="22479DE6" w:rsidR="006B2308" w:rsidRPr="008111D4" w:rsidRDefault="006B2308" w:rsidP="006B2308">
            <w:pPr>
              <w:rPr>
                <w:sz w:val="22"/>
                <w:szCs w:val="22"/>
              </w:rPr>
            </w:pPr>
            <w:r>
              <w:t>Governing school funding</w:t>
            </w:r>
          </w:p>
        </w:tc>
        <w:tc>
          <w:tcPr>
            <w:tcW w:w="2552" w:type="dxa"/>
          </w:tcPr>
          <w:p w14:paraId="534F683A" w14:textId="77777777" w:rsidR="006B2308" w:rsidRPr="00872882" w:rsidRDefault="006B2308" w:rsidP="006B2308">
            <w:pPr>
              <w:rPr>
                <w:rFonts w:eastAsia="Arial Narrow"/>
                <w:sz w:val="22"/>
                <w:szCs w:val="22"/>
              </w:rPr>
            </w:pPr>
          </w:p>
          <w:p w14:paraId="285E5695" w14:textId="77777777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462C5FFB" w14:textId="65CB8059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43F80EB0" w14:textId="2F6AEF76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7AC488D0" w14:textId="77777777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</w:p>
          <w:p w14:paraId="3A1F37D0" w14:textId="3A083835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5AAD0AE4" w14:textId="22E559C7" w:rsidR="006B2308" w:rsidRPr="001C76CE" w:rsidRDefault="006B2308" w:rsidP="006B2308">
            <w:pPr>
              <w:rPr>
                <w:sz w:val="22"/>
                <w:szCs w:val="22"/>
                <w:lang w:val="en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>
              <w:rPr>
                <w:sz w:val="22"/>
                <w:szCs w:val="22"/>
                <w:lang w:val="en-ID"/>
              </w:rPr>
              <w:t>S2</w:t>
            </w:r>
          </w:p>
        </w:tc>
      </w:tr>
      <w:tr w:rsidR="006B2308" w:rsidRPr="008111D4" w14:paraId="3D999EC8" w14:textId="77777777" w:rsidTr="00291446">
        <w:tc>
          <w:tcPr>
            <w:tcW w:w="984" w:type="dxa"/>
          </w:tcPr>
          <w:p w14:paraId="5F50D170" w14:textId="77777777" w:rsidR="006B2308" w:rsidRPr="00332F84" w:rsidRDefault="006B2308" w:rsidP="006B2308">
            <w:pPr>
              <w:pStyle w:val="ListParagraph"/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3A7F9200" w14:textId="6BFB3E2C" w:rsidR="006B2308" w:rsidRPr="008111D4" w:rsidRDefault="006B2308" w:rsidP="006B2308">
            <w:pPr>
              <w:rPr>
                <w:sz w:val="22"/>
                <w:szCs w:val="22"/>
              </w:rPr>
            </w:pPr>
            <w:r>
              <w:t>Distributing school funding</w:t>
            </w:r>
          </w:p>
        </w:tc>
        <w:tc>
          <w:tcPr>
            <w:tcW w:w="4536" w:type="dxa"/>
          </w:tcPr>
          <w:p w14:paraId="4B10DB72" w14:textId="04E3182D" w:rsidR="006B2308" w:rsidRDefault="006B2308" w:rsidP="006B2308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>
              <w:t>Distributing school funding</w:t>
            </w:r>
          </w:p>
        </w:tc>
        <w:tc>
          <w:tcPr>
            <w:tcW w:w="2551" w:type="dxa"/>
          </w:tcPr>
          <w:p w14:paraId="60BF8F43" w14:textId="03B0E6E8" w:rsidR="006B2308" w:rsidRPr="008111D4" w:rsidRDefault="006B2308" w:rsidP="006B2308">
            <w:pPr>
              <w:rPr>
                <w:sz w:val="22"/>
                <w:szCs w:val="22"/>
              </w:rPr>
            </w:pPr>
            <w:r>
              <w:t>Distributing school funding</w:t>
            </w:r>
          </w:p>
        </w:tc>
        <w:tc>
          <w:tcPr>
            <w:tcW w:w="2552" w:type="dxa"/>
          </w:tcPr>
          <w:p w14:paraId="771AF700" w14:textId="77777777" w:rsidR="006B2308" w:rsidRPr="00872882" w:rsidRDefault="006B2308" w:rsidP="006B2308">
            <w:pPr>
              <w:rPr>
                <w:rFonts w:eastAsia="Arial Narrow"/>
                <w:sz w:val="22"/>
                <w:szCs w:val="22"/>
              </w:rPr>
            </w:pPr>
          </w:p>
          <w:p w14:paraId="6082A120" w14:textId="77777777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0E6C38A5" w14:textId="02826834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09B5819B" w14:textId="68C5DA9F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5D7D4D47" w14:textId="77777777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</w:p>
          <w:p w14:paraId="2A8CF98C" w14:textId="6FE59466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7D4E3D7B" w14:textId="6B251216" w:rsidR="006B2308" w:rsidRPr="001C76CE" w:rsidRDefault="006B2308" w:rsidP="006B2308">
            <w:pPr>
              <w:rPr>
                <w:sz w:val="22"/>
                <w:szCs w:val="22"/>
                <w:lang w:val="en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>
              <w:rPr>
                <w:sz w:val="22"/>
                <w:szCs w:val="22"/>
                <w:lang w:val="en-ID"/>
              </w:rPr>
              <w:t>S2</w:t>
            </w:r>
          </w:p>
        </w:tc>
      </w:tr>
      <w:tr w:rsidR="006B2308" w:rsidRPr="008111D4" w14:paraId="00E62738" w14:textId="77777777" w:rsidTr="00291446">
        <w:tc>
          <w:tcPr>
            <w:tcW w:w="984" w:type="dxa"/>
          </w:tcPr>
          <w:p w14:paraId="496D2550" w14:textId="77777777" w:rsidR="006B2308" w:rsidRPr="00332F84" w:rsidRDefault="006B2308" w:rsidP="006B2308">
            <w:pPr>
              <w:pStyle w:val="ListParagraph"/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7B3D52EA" w14:textId="620BC058" w:rsidR="006B2308" w:rsidRPr="008111D4" w:rsidRDefault="006B2308" w:rsidP="006B2308">
            <w:pPr>
              <w:rPr>
                <w:sz w:val="22"/>
                <w:szCs w:val="22"/>
              </w:rPr>
            </w:pPr>
            <w:r>
              <w:t>Planning the use of school funding</w:t>
            </w:r>
          </w:p>
        </w:tc>
        <w:tc>
          <w:tcPr>
            <w:tcW w:w="4536" w:type="dxa"/>
          </w:tcPr>
          <w:p w14:paraId="7AA2C793" w14:textId="5281D919" w:rsidR="006B2308" w:rsidRDefault="006B2308" w:rsidP="006B2308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>
              <w:t>Planning the use of school funding</w:t>
            </w:r>
          </w:p>
        </w:tc>
        <w:tc>
          <w:tcPr>
            <w:tcW w:w="2551" w:type="dxa"/>
          </w:tcPr>
          <w:p w14:paraId="51CF5A3F" w14:textId="1368492E" w:rsidR="006B2308" w:rsidRPr="008111D4" w:rsidRDefault="006B2308" w:rsidP="006B2308">
            <w:pPr>
              <w:rPr>
                <w:sz w:val="22"/>
                <w:szCs w:val="22"/>
              </w:rPr>
            </w:pPr>
            <w:r>
              <w:t>Planning the use of school funding</w:t>
            </w:r>
          </w:p>
        </w:tc>
        <w:tc>
          <w:tcPr>
            <w:tcW w:w="2552" w:type="dxa"/>
          </w:tcPr>
          <w:p w14:paraId="65889BF1" w14:textId="77777777" w:rsidR="006B2308" w:rsidRPr="00872882" w:rsidRDefault="006B2308" w:rsidP="006B2308">
            <w:pPr>
              <w:rPr>
                <w:rFonts w:eastAsia="Arial Narrow"/>
                <w:sz w:val="22"/>
                <w:szCs w:val="22"/>
              </w:rPr>
            </w:pPr>
          </w:p>
          <w:p w14:paraId="44D35813" w14:textId="77777777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7AE69D7A" w14:textId="507857D6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25153C15" w14:textId="7C344395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20B55554" w14:textId="77777777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</w:p>
          <w:p w14:paraId="5D61EA6E" w14:textId="6B739D69" w:rsidR="006B2308" w:rsidRPr="008111D4" w:rsidRDefault="006B2308" w:rsidP="006B2308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106B569B" w14:textId="464B7DBE" w:rsidR="006B2308" w:rsidRPr="008111D4" w:rsidRDefault="006B2308" w:rsidP="006B2308">
            <w:pPr>
              <w:rPr>
                <w:sz w:val="22"/>
                <w:szCs w:val="22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>
              <w:rPr>
                <w:sz w:val="22"/>
                <w:szCs w:val="22"/>
                <w:lang w:val="en-ID"/>
              </w:rPr>
              <w:t>S2</w:t>
            </w:r>
          </w:p>
        </w:tc>
      </w:tr>
      <w:tr w:rsidR="00CB4E1E" w:rsidRPr="008111D4" w14:paraId="7FBE59FC" w14:textId="77777777" w:rsidTr="00257DCA">
        <w:tc>
          <w:tcPr>
            <w:tcW w:w="984" w:type="dxa"/>
          </w:tcPr>
          <w:p w14:paraId="187B3795" w14:textId="77777777" w:rsidR="00CB4E1E" w:rsidRPr="00332F84" w:rsidRDefault="00CB4E1E" w:rsidP="00CB4E1E">
            <w:pPr>
              <w:pStyle w:val="ListParagraph"/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4A10175C" w14:textId="1EDA1D80" w:rsidR="00CB4E1E" w:rsidRPr="008111D4" w:rsidRDefault="00CB4E1E" w:rsidP="00CB4E1E">
            <w:pPr>
              <w:rPr>
                <w:sz w:val="22"/>
                <w:szCs w:val="22"/>
              </w:rPr>
            </w:pPr>
            <w:r>
              <w:t>Management Accounting and Control in Higher Education Institutions: A Systematic Literature Review</w:t>
            </w:r>
          </w:p>
        </w:tc>
        <w:tc>
          <w:tcPr>
            <w:tcW w:w="4536" w:type="dxa"/>
          </w:tcPr>
          <w:p w14:paraId="665D0DA8" w14:textId="508C24C4" w:rsidR="00CB4E1E" w:rsidRDefault="00CB4E1E" w:rsidP="00CB4E1E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>
              <w:t>Management Accounting and Control in Higher Education Institutions: A Systematic Literature Review</w:t>
            </w:r>
          </w:p>
        </w:tc>
        <w:tc>
          <w:tcPr>
            <w:tcW w:w="2551" w:type="dxa"/>
          </w:tcPr>
          <w:p w14:paraId="1AE1D77A" w14:textId="6133D4A1" w:rsidR="00CB4E1E" w:rsidRPr="008111D4" w:rsidRDefault="00CB4E1E" w:rsidP="00CB4E1E">
            <w:pPr>
              <w:rPr>
                <w:sz w:val="22"/>
                <w:szCs w:val="22"/>
              </w:rPr>
            </w:pPr>
            <w:r>
              <w:t>Management Accounting and Control in Higher Education Institutions: A Systematic Literature Review</w:t>
            </w:r>
          </w:p>
        </w:tc>
        <w:tc>
          <w:tcPr>
            <w:tcW w:w="2552" w:type="dxa"/>
          </w:tcPr>
          <w:p w14:paraId="4CEC6D5E" w14:textId="77777777" w:rsidR="00CB4E1E" w:rsidRPr="00872882" w:rsidRDefault="00CB4E1E" w:rsidP="00CB4E1E">
            <w:pPr>
              <w:rPr>
                <w:rFonts w:eastAsia="Arial Narrow"/>
                <w:sz w:val="22"/>
                <w:szCs w:val="22"/>
              </w:rPr>
            </w:pPr>
          </w:p>
          <w:p w14:paraId="252C8757" w14:textId="77777777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3850E66E" w14:textId="14221E69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621DADFD" w14:textId="12A4CAED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7C5D1D84" w14:textId="77777777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</w:p>
          <w:p w14:paraId="0D2765AE" w14:textId="11337AE9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3B74827A" w14:textId="6BF29037" w:rsidR="00CB4E1E" w:rsidRPr="006B2308" w:rsidRDefault="00CB4E1E" w:rsidP="00CB4E1E">
            <w:pPr>
              <w:rPr>
                <w:sz w:val="22"/>
                <w:szCs w:val="22"/>
                <w:lang w:val="en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 w:rsidR="006B2308">
              <w:rPr>
                <w:sz w:val="22"/>
                <w:szCs w:val="22"/>
                <w:lang w:val="en-ID"/>
              </w:rPr>
              <w:t>S5</w:t>
            </w:r>
          </w:p>
        </w:tc>
      </w:tr>
      <w:tr w:rsidR="00CB4E1E" w:rsidRPr="008111D4" w14:paraId="6A0CC710" w14:textId="77777777" w:rsidTr="00257DCA">
        <w:tc>
          <w:tcPr>
            <w:tcW w:w="984" w:type="dxa"/>
          </w:tcPr>
          <w:p w14:paraId="448F0651" w14:textId="77777777" w:rsidR="00CB4E1E" w:rsidRPr="00332F84" w:rsidRDefault="00CB4E1E" w:rsidP="00CB4E1E">
            <w:pPr>
              <w:pStyle w:val="ListParagraph"/>
              <w:numPr>
                <w:ilvl w:val="0"/>
                <w:numId w:val="8"/>
              </w:numPr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1817" w:type="dxa"/>
          </w:tcPr>
          <w:p w14:paraId="3DF22F50" w14:textId="35BAEE29" w:rsidR="00CB4E1E" w:rsidRPr="008111D4" w:rsidRDefault="00CB4E1E" w:rsidP="00CB4E1E">
            <w:pPr>
              <w:rPr>
                <w:sz w:val="22"/>
                <w:szCs w:val="22"/>
              </w:rPr>
            </w:pPr>
            <w:r w:rsidRPr="008111D4">
              <w:rPr>
                <w:sz w:val="22"/>
                <w:szCs w:val="22"/>
              </w:rPr>
              <w:t>Performance Measurement in Higher Education</w:t>
            </w:r>
            <w:r>
              <w:rPr>
                <w:sz w:val="22"/>
                <w:szCs w:val="22"/>
              </w:rPr>
              <w:t xml:space="preserve"> and </w:t>
            </w:r>
            <w:r w:rsidRPr="00B81E82">
              <w:rPr>
                <w:sz w:val="22"/>
                <w:szCs w:val="22"/>
              </w:rPr>
              <w:t>An empirical investigation of implementing Lean Six Sigma in Higher Education Institutions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0F0DDA65" w14:textId="6E0FA890" w:rsidR="00CB4E1E" w:rsidRDefault="00CB4E1E" w:rsidP="00CB4E1E">
            <w:proofErr w:type="spellStart"/>
            <w:r w:rsidRPr="00382383">
              <w:rPr>
                <w:rFonts w:eastAsia="Arial Narrow"/>
                <w:sz w:val="22"/>
                <w:szCs w:val="22"/>
              </w:rPr>
              <w:t>Mahasiswa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memiliki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kemampuan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</w:rPr>
              <w:t>untuk</w:t>
            </w:r>
            <w:proofErr w:type="spellEnd"/>
            <w:r w:rsidRPr="00382383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memahami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dan </w:t>
            </w:r>
            <w:proofErr w:type="spellStart"/>
            <w:r w:rsidRPr="00382383">
              <w:rPr>
                <w:rFonts w:eastAsia="Arial Narrow"/>
                <w:sz w:val="22"/>
                <w:szCs w:val="22"/>
                <w:lang w:val="en-ID"/>
              </w:rPr>
              <w:t>menjelaskan</w:t>
            </w:r>
            <w:proofErr w:type="spellEnd"/>
            <w:r w:rsidRPr="00382383">
              <w:rPr>
                <w:rFonts w:eastAsia="Arial Narrow"/>
                <w:sz w:val="22"/>
                <w:szCs w:val="22"/>
                <w:lang w:val="en-ID"/>
              </w:rPr>
              <w:t xml:space="preserve"> </w:t>
            </w:r>
            <w:r w:rsidRPr="008111D4">
              <w:rPr>
                <w:sz w:val="22"/>
                <w:szCs w:val="22"/>
              </w:rPr>
              <w:t>Performance Measurement in Higher Education</w:t>
            </w:r>
            <w:r>
              <w:rPr>
                <w:sz w:val="22"/>
                <w:szCs w:val="22"/>
              </w:rPr>
              <w:t xml:space="preserve"> and </w:t>
            </w:r>
            <w:r w:rsidRPr="00B81E82">
              <w:rPr>
                <w:sz w:val="22"/>
                <w:szCs w:val="22"/>
              </w:rPr>
              <w:t>An empirical investigation of implementing Lean Six Sigma in Higher Education Institutions</w:t>
            </w:r>
          </w:p>
        </w:tc>
        <w:tc>
          <w:tcPr>
            <w:tcW w:w="2551" w:type="dxa"/>
          </w:tcPr>
          <w:p w14:paraId="21800F5D" w14:textId="5E9ED8DF" w:rsidR="00CB4E1E" w:rsidRPr="008111D4" w:rsidRDefault="00CB4E1E" w:rsidP="00CB4E1E">
            <w:pPr>
              <w:rPr>
                <w:sz w:val="22"/>
                <w:szCs w:val="22"/>
              </w:rPr>
            </w:pPr>
            <w:r w:rsidRPr="008111D4">
              <w:rPr>
                <w:sz w:val="22"/>
                <w:szCs w:val="22"/>
              </w:rPr>
              <w:t>Performance Measurement in Higher Education</w:t>
            </w:r>
            <w:r>
              <w:rPr>
                <w:sz w:val="22"/>
                <w:szCs w:val="22"/>
              </w:rPr>
              <w:t xml:space="preserve"> and </w:t>
            </w:r>
            <w:r w:rsidRPr="00B81E82">
              <w:rPr>
                <w:sz w:val="22"/>
                <w:szCs w:val="22"/>
              </w:rPr>
              <w:t>An empirical investigation of implementing Lean Six Sigma in Higher Education Institutions</w:t>
            </w:r>
          </w:p>
        </w:tc>
        <w:tc>
          <w:tcPr>
            <w:tcW w:w="2552" w:type="dxa"/>
          </w:tcPr>
          <w:p w14:paraId="291B6E22" w14:textId="77777777" w:rsidR="00CB4E1E" w:rsidRPr="00872882" w:rsidRDefault="00CB4E1E" w:rsidP="00CB4E1E">
            <w:pPr>
              <w:rPr>
                <w:rFonts w:eastAsia="Arial Narrow"/>
                <w:sz w:val="22"/>
                <w:szCs w:val="22"/>
              </w:rPr>
            </w:pPr>
          </w:p>
          <w:p w14:paraId="1C5CD34A" w14:textId="77777777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Pembukaan</w:t>
            </w:r>
            <w:proofErr w:type="spellEnd"/>
          </w:p>
          <w:p w14:paraId="3022758E" w14:textId="0CB793E3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r w:rsidRPr="008111D4">
              <w:rPr>
                <w:rFonts w:eastAsia="Arial Narrow"/>
                <w:sz w:val="22"/>
                <w:szCs w:val="22"/>
              </w:rPr>
              <w:t xml:space="preserve">Isi : </w:t>
            </w:r>
            <w:proofErr w:type="spellStart"/>
            <w:r w:rsidR="007D43B6"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diskusi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tanya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Pr="008111D4">
              <w:rPr>
                <w:rFonts w:eastAsia="Arial Narrow"/>
                <w:sz w:val="22"/>
                <w:szCs w:val="22"/>
              </w:rPr>
              <w:t>jawab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>,</w:t>
            </w:r>
            <w:r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Pencarian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dan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  <w:p w14:paraId="1C550A3B" w14:textId="3504A0DA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 w:rsidRPr="008111D4">
              <w:rPr>
                <w:rFonts w:eastAsia="Arial Narrow"/>
                <w:sz w:val="22"/>
                <w:szCs w:val="22"/>
              </w:rPr>
              <w:t>Penutup</w:t>
            </w:r>
            <w:proofErr w:type="spellEnd"/>
          </w:p>
        </w:tc>
        <w:tc>
          <w:tcPr>
            <w:tcW w:w="1560" w:type="dxa"/>
          </w:tcPr>
          <w:p w14:paraId="7B87A61F" w14:textId="77777777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</w:p>
          <w:p w14:paraId="2215E1A9" w14:textId="178AAD33" w:rsidR="00CB4E1E" w:rsidRPr="008111D4" w:rsidRDefault="00CB4E1E" w:rsidP="00CB4E1E">
            <w:pPr>
              <w:rPr>
                <w:rFonts w:eastAsia="Arial Narrow"/>
                <w:sz w:val="22"/>
                <w:szCs w:val="22"/>
              </w:rPr>
            </w:pPr>
            <w:proofErr w:type="spellStart"/>
            <w:r>
              <w:rPr>
                <w:rFonts w:eastAsia="Arial Narrow"/>
                <w:sz w:val="22"/>
                <w:szCs w:val="22"/>
              </w:rPr>
              <w:t>Partisipasi</w:t>
            </w:r>
            <w:proofErr w:type="spellEnd"/>
            <w:r>
              <w:rPr>
                <w:rFonts w:eastAsia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 Narrow"/>
                <w:sz w:val="22"/>
                <w:szCs w:val="22"/>
              </w:rPr>
              <w:t>presentasi</w:t>
            </w:r>
            <w:proofErr w:type="spellEnd"/>
            <w:r w:rsidRPr="008111D4">
              <w:rPr>
                <w:rFonts w:eastAsia="Arial Narrow"/>
                <w:sz w:val="22"/>
                <w:szCs w:val="22"/>
              </w:rPr>
              <w:t xml:space="preserve"> </w:t>
            </w:r>
            <w:r>
              <w:rPr>
                <w:rFonts w:eastAsia="Arial Narrow"/>
                <w:sz w:val="22"/>
                <w:szCs w:val="22"/>
              </w:rPr>
              <w:t xml:space="preserve">dan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tugas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review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artikel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empirik</w:t>
            </w:r>
            <w:proofErr w:type="spellEnd"/>
            <w:r w:rsidR="00B67BA2">
              <w:rPr>
                <w:rFonts w:eastAsia="Arial Narrow"/>
                <w:sz w:val="22"/>
                <w:szCs w:val="22"/>
              </w:rPr>
              <w:t xml:space="preserve"> yang </w:t>
            </w:r>
            <w:proofErr w:type="spellStart"/>
            <w:r w:rsidR="00B67BA2">
              <w:rPr>
                <w:rFonts w:eastAsia="Arial Narrow"/>
                <w:sz w:val="22"/>
                <w:szCs w:val="22"/>
              </w:rPr>
              <w:t>relevan</w:t>
            </w:r>
            <w:proofErr w:type="spellEnd"/>
          </w:p>
        </w:tc>
        <w:tc>
          <w:tcPr>
            <w:tcW w:w="1431" w:type="dxa"/>
          </w:tcPr>
          <w:p w14:paraId="3C7EDDB9" w14:textId="0560C1AC" w:rsidR="00CB4E1E" w:rsidRPr="006B2308" w:rsidRDefault="00CB4E1E" w:rsidP="00CB4E1E">
            <w:pPr>
              <w:jc w:val="both"/>
              <w:rPr>
                <w:sz w:val="22"/>
                <w:szCs w:val="22"/>
                <w:lang w:val="en-ID"/>
              </w:rPr>
            </w:pPr>
            <w:r w:rsidRPr="008111D4">
              <w:rPr>
                <w:sz w:val="22"/>
                <w:szCs w:val="22"/>
                <w:lang w:val="id-ID"/>
              </w:rPr>
              <w:t>B</w:t>
            </w:r>
            <w:r w:rsidR="006B2308">
              <w:rPr>
                <w:sz w:val="22"/>
                <w:szCs w:val="22"/>
                <w:lang w:val="en-ID"/>
              </w:rPr>
              <w:t>S6 dan BS7</w:t>
            </w:r>
          </w:p>
        </w:tc>
      </w:tr>
    </w:tbl>
    <w:p w14:paraId="073DAE3F" w14:textId="77777777" w:rsidR="00EA49AC" w:rsidRDefault="00EA49AC">
      <w:pPr>
        <w:rPr>
          <w:rFonts w:ascii="Arial Narrow" w:eastAsia="Arial Narrow" w:hAnsi="Arial Narrow" w:cs="Arial Narrow"/>
        </w:rPr>
      </w:pPr>
    </w:p>
    <w:p w14:paraId="64525CE8" w14:textId="77777777" w:rsidR="00EA49AC" w:rsidRDefault="00EA49AC">
      <w:pPr>
        <w:rPr>
          <w:rFonts w:ascii="Arial Narrow" w:eastAsia="Arial Narrow" w:hAnsi="Arial Narrow" w:cs="Arial Narrow"/>
          <w:lang w:val="id-ID"/>
        </w:rPr>
      </w:pPr>
    </w:p>
    <w:p w14:paraId="46C32F0F" w14:textId="77777777" w:rsidR="008111D4" w:rsidRPr="008111D4" w:rsidRDefault="00365C42" w:rsidP="00365C42">
      <w:pPr>
        <w:pStyle w:val="NormalWeb"/>
        <w:rPr>
          <w:b/>
        </w:rPr>
      </w:pPr>
      <w:r w:rsidRPr="008111D4">
        <w:rPr>
          <w:b/>
        </w:rPr>
        <w:t>B</w:t>
      </w:r>
      <w:r w:rsidR="00DB725A" w:rsidRPr="008111D4">
        <w:rPr>
          <w:b/>
        </w:rPr>
        <w:t xml:space="preserve">uku </w:t>
      </w:r>
      <w:r w:rsidR="008111D4">
        <w:rPr>
          <w:b/>
        </w:rPr>
        <w:t>Sumber</w:t>
      </w:r>
    </w:p>
    <w:p w14:paraId="48F1392D" w14:textId="77777777" w:rsidR="00365C42" w:rsidRDefault="00DB725A" w:rsidP="00365C42">
      <w:pPr>
        <w:pStyle w:val="NormalWeb"/>
      </w:pPr>
      <w:r>
        <w:t xml:space="preserve">(diunduh dari </w:t>
      </w:r>
      <w:r w:rsidR="00A66C99">
        <w:fldChar w:fldCharType="begin"/>
      </w:r>
      <w:r w:rsidR="00A66C99">
        <w:instrText xml:space="preserve"> HYPERLINK "http://blog.uny.ac.id/sukirno/vclass/master-degree/managerial-accounting/" </w:instrText>
      </w:r>
      <w:r w:rsidR="00A66C99">
        <w:fldChar w:fldCharType="separate"/>
      </w:r>
      <w:r w:rsidR="002F52AF" w:rsidRPr="006A3B0E">
        <w:rPr>
          <w:rStyle w:val="Hyperlink"/>
        </w:rPr>
        <w:t>http://blog.uny.ac.id/sukirno/vclass/master-degree/managerial-accounting/</w:t>
      </w:r>
      <w:r w:rsidR="00A66C99">
        <w:rPr>
          <w:rStyle w:val="Hyperlink"/>
        </w:rPr>
        <w:fldChar w:fldCharType="end"/>
      </w:r>
      <w:r>
        <w:t>)</w:t>
      </w:r>
    </w:p>
    <w:p w14:paraId="429635D6" w14:textId="4D43CF63" w:rsidR="0095027A" w:rsidRPr="002F52AF" w:rsidRDefault="0095027A" w:rsidP="0095027A">
      <w:pPr>
        <w:pStyle w:val="BodyText"/>
        <w:numPr>
          <w:ilvl w:val="3"/>
          <w:numId w:val="40"/>
        </w:numPr>
        <w:spacing w:after="0"/>
        <w:ind w:left="720"/>
        <w:jc w:val="both"/>
        <w:rPr>
          <w:sz w:val="24"/>
          <w:szCs w:val="24"/>
        </w:rPr>
      </w:pPr>
      <w:r w:rsidRPr="00A81BDD">
        <w:rPr>
          <w:sz w:val="24"/>
          <w:szCs w:val="24"/>
        </w:rPr>
        <w:t>Hansen, D.R. and Mowen, M.M. 20</w:t>
      </w:r>
      <w:r w:rsidR="00125ACF">
        <w:rPr>
          <w:sz w:val="24"/>
          <w:szCs w:val="24"/>
        </w:rPr>
        <w:t>15</w:t>
      </w:r>
      <w:r w:rsidRPr="00A81BDD">
        <w:rPr>
          <w:sz w:val="24"/>
          <w:szCs w:val="24"/>
        </w:rPr>
        <w:t xml:space="preserve">. </w:t>
      </w:r>
      <w:r w:rsidRPr="00A81BDD">
        <w:rPr>
          <w:i/>
          <w:iCs/>
          <w:sz w:val="24"/>
          <w:szCs w:val="24"/>
        </w:rPr>
        <w:t>Management Accounting</w:t>
      </w:r>
      <w:r w:rsidRPr="00A81BDD">
        <w:rPr>
          <w:sz w:val="24"/>
          <w:szCs w:val="24"/>
        </w:rPr>
        <w:t xml:space="preserve">. </w:t>
      </w:r>
      <w:r>
        <w:rPr>
          <w:sz w:val="24"/>
          <w:szCs w:val="24"/>
          <w:lang w:val="id-ID"/>
        </w:rPr>
        <w:t xml:space="preserve">8th Edition. </w:t>
      </w:r>
      <w:r w:rsidRPr="00A81BDD">
        <w:rPr>
          <w:sz w:val="24"/>
          <w:szCs w:val="24"/>
        </w:rPr>
        <w:t>Cincinnati: South-</w:t>
      </w:r>
      <w:r>
        <w:rPr>
          <w:sz w:val="24"/>
          <w:szCs w:val="24"/>
        </w:rPr>
        <w:t xml:space="preserve">Western College Publishing. </w:t>
      </w:r>
    </w:p>
    <w:p w14:paraId="7A49A148" w14:textId="77777777" w:rsidR="002B1A3A" w:rsidRPr="002B1A3A" w:rsidRDefault="002B1A3A" w:rsidP="002F52AF">
      <w:pPr>
        <w:pStyle w:val="NormalWeb"/>
        <w:numPr>
          <w:ilvl w:val="3"/>
          <w:numId w:val="40"/>
        </w:numPr>
        <w:spacing w:before="0" w:beforeAutospacing="0" w:after="0" w:afterAutospacing="0"/>
        <w:ind w:left="720"/>
        <w:rPr>
          <w:lang w:val="en-ID"/>
        </w:rPr>
      </w:pPr>
      <w:r>
        <w:t>Belkaoui, Ahmed Riahi. 2002. Behavioral Management Accounting. Connecticut: Quorum Books.</w:t>
      </w:r>
    </w:p>
    <w:p w14:paraId="1CEF64E7" w14:textId="7E77DC68" w:rsidR="00AB4D1C" w:rsidRPr="00AB4D1C" w:rsidRDefault="00AB4D1C" w:rsidP="00913F4D">
      <w:pPr>
        <w:pStyle w:val="NormalWeb"/>
        <w:numPr>
          <w:ilvl w:val="3"/>
          <w:numId w:val="40"/>
        </w:numPr>
        <w:spacing w:before="0" w:beforeAutospacing="0" w:after="0" w:afterAutospacing="0"/>
        <w:ind w:left="720"/>
        <w:rPr>
          <w:lang w:val="en-ID"/>
        </w:rPr>
      </w:pPr>
      <w:r w:rsidRPr="00AB4D1C">
        <w:t>Anthony, Robert N. and Govindarajan, Vijay. 2012. Management Control System (11th Edition). Terjemahan oleh F.X. Kurniawan Tjakrawala dan Krista. 2012. Sistem Pengendalian Manajemen (Buku 1). Jakarta: Salemba Empat</w:t>
      </w:r>
      <w:r w:rsidR="00125ACF">
        <w:rPr>
          <w:lang w:val="en-ID"/>
        </w:rPr>
        <w:t>.</w:t>
      </w:r>
    </w:p>
    <w:p w14:paraId="18706A91" w14:textId="77777777" w:rsidR="00BC685A" w:rsidRPr="00BC685A" w:rsidRDefault="00BC685A" w:rsidP="00913F4D">
      <w:pPr>
        <w:pStyle w:val="NormalWeb"/>
        <w:numPr>
          <w:ilvl w:val="3"/>
          <w:numId w:val="40"/>
        </w:numPr>
        <w:spacing w:before="0" w:beforeAutospacing="0" w:after="0" w:afterAutospacing="0"/>
        <w:ind w:left="720"/>
        <w:rPr>
          <w:lang w:val="en-ID"/>
        </w:rPr>
      </w:pPr>
      <w:r w:rsidRPr="00BC685A">
        <w:t>Hans H. Jenny. 1996. Cost Accounting in Higher EducationSimplified Macro- and Micro-Costing Techniques. Washington: The National Association of College and University Business OfficersOne Dupont Circle.</w:t>
      </w:r>
    </w:p>
    <w:p w14:paraId="54608C52" w14:textId="5E1A2B7A" w:rsidR="00BC685A" w:rsidRPr="00BC685A" w:rsidRDefault="00906F90" w:rsidP="00913F4D">
      <w:pPr>
        <w:pStyle w:val="NormalWeb"/>
        <w:numPr>
          <w:ilvl w:val="3"/>
          <w:numId w:val="40"/>
        </w:numPr>
        <w:spacing w:before="0" w:beforeAutospacing="0" w:after="0" w:afterAutospacing="0"/>
        <w:ind w:left="720"/>
        <w:rPr>
          <w:lang w:val="en-ID"/>
        </w:rPr>
      </w:pPr>
      <w:r w:rsidRPr="00BC685A">
        <w:t xml:space="preserve">Anwar Shah. 2007. Participatory Budgeting. Washington, D.C.: The International Bank For Reconstruction And Development / </w:t>
      </w:r>
      <w:r w:rsidR="00BC685A" w:rsidRPr="00BC685A">
        <w:t>The World Bank</w:t>
      </w:r>
    </w:p>
    <w:p w14:paraId="7C8912A7" w14:textId="32E79C13" w:rsidR="00BC685A" w:rsidRPr="00BC685A" w:rsidRDefault="00906F90" w:rsidP="00913F4D">
      <w:pPr>
        <w:pStyle w:val="NormalWeb"/>
        <w:numPr>
          <w:ilvl w:val="3"/>
          <w:numId w:val="40"/>
        </w:numPr>
        <w:spacing w:before="0" w:beforeAutospacing="0" w:after="0" w:afterAutospacing="0"/>
        <w:ind w:left="720"/>
        <w:rPr>
          <w:lang w:val="en-ID"/>
        </w:rPr>
      </w:pPr>
      <w:r w:rsidRPr="00BC685A">
        <w:t>Robert D. Lee, Jr., Ronald W. Johnson, Philip G. Joyce, 2013. Public Budgeting Systems. Ninth Edition. United States: Jones &amp; Bartlett Learning, Llc, An Ascend Learning Company</w:t>
      </w:r>
    </w:p>
    <w:p w14:paraId="7E5E695C" w14:textId="1DEF94F7" w:rsidR="00BC685A" w:rsidRPr="00BC685A" w:rsidRDefault="00906F90" w:rsidP="00913F4D">
      <w:pPr>
        <w:pStyle w:val="NormalWeb"/>
        <w:numPr>
          <w:ilvl w:val="3"/>
          <w:numId w:val="40"/>
        </w:numPr>
        <w:spacing w:before="0" w:beforeAutospacing="0" w:after="0" w:afterAutospacing="0"/>
        <w:ind w:left="720"/>
        <w:rPr>
          <w:lang w:val="en-ID"/>
        </w:rPr>
      </w:pPr>
      <w:r w:rsidRPr="00BC685A">
        <w:t>Sukirno, Dkk. 2021. Panduan Tata Kelola Blud Smk Berbasis Good School Governance. Jakarta: Dirjend Psmk Kemendikbud Ri.</w:t>
      </w:r>
    </w:p>
    <w:p w14:paraId="08F76935" w14:textId="3D6060A8" w:rsidR="00BC685A" w:rsidRPr="00125ACF" w:rsidRDefault="002A5C9D" w:rsidP="00125ACF">
      <w:pPr>
        <w:pStyle w:val="NormalWeb"/>
        <w:numPr>
          <w:ilvl w:val="3"/>
          <w:numId w:val="40"/>
        </w:numPr>
        <w:spacing w:before="0" w:beforeAutospacing="0" w:after="0" w:afterAutospacing="0"/>
        <w:ind w:left="720"/>
        <w:rPr>
          <w:lang w:val="en-ID"/>
        </w:rPr>
      </w:pPr>
      <w:r w:rsidRPr="00BC685A">
        <w:t>Ronald E. Everett, Donald R. Johnson, Bernard W. Madden. 2012. Financial Accounting For School Administrators Tools For Schools Third Edition New York: Rowman &amp; Littlefield Education</w:t>
      </w:r>
    </w:p>
    <w:p w14:paraId="6B1B8D26" w14:textId="6E7D4BD1" w:rsidR="00125ACF" w:rsidRPr="00125ACF" w:rsidRDefault="002A5C9D" w:rsidP="00913F4D">
      <w:pPr>
        <w:pStyle w:val="NormalWeb"/>
        <w:numPr>
          <w:ilvl w:val="3"/>
          <w:numId w:val="40"/>
        </w:numPr>
        <w:spacing w:before="0" w:beforeAutospacing="0" w:after="0" w:afterAutospacing="0"/>
        <w:ind w:left="720"/>
        <w:rPr>
          <w:lang w:val="en-ID"/>
        </w:rPr>
      </w:pPr>
      <w:r w:rsidRPr="00125ACF">
        <w:t xml:space="preserve">Margaret J. Barr, George S. Mcclellan. 2018. Budgets And Financial Management In Higher Education Third Edition. San Francisco: John Wiley &amp; Sons. </w:t>
      </w:r>
    </w:p>
    <w:p w14:paraId="5A6A0AEE" w14:textId="099DF700" w:rsidR="00B81E82" w:rsidRPr="00B81E82" w:rsidRDefault="00B81E82" w:rsidP="00125ACF">
      <w:pPr>
        <w:pStyle w:val="NormalWeb"/>
        <w:spacing w:before="0" w:beforeAutospacing="0" w:after="0" w:afterAutospacing="0"/>
        <w:rPr>
          <w:lang w:val="en-ID"/>
        </w:rPr>
      </w:pPr>
    </w:p>
    <w:p w14:paraId="2FEBD440" w14:textId="77777777" w:rsidR="008111D4" w:rsidRPr="008111D4" w:rsidRDefault="00DB725A" w:rsidP="00365C42">
      <w:pPr>
        <w:pStyle w:val="NormalWeb"/>
        <w:rPr>
          <w:b/>
        </w:rPr>
      </w:pPr>
      <w:r w:rsidRPr="008111D4">
        <w:rPr>
          <w:b/>
        </w:rPr>
        <w:t>Artikel</w:t>
      </w:r>
      <w:r w:rsidR="008111D4" w:rsidRPr="008111D4">
        <w:rPr>
          <w:b/>
        </w:rPr>
        <w:t xml:space="preserve"> Pengayaan</w:t>
      </w:r>
    </w:p>
    <w:p w14:paraId="053A7432" w14:textId="5DB37E7D" w:rsidR="00365C42" w:rsidRPr="00D260D6" w:rsidRDefault="00D260D6" w:rsidP="00541F53">
      <w:pPr>
        <w:pStyle w:val="NormalWeb"/>
        <w:jc w:val="center"/>
      </w:pPr>
      <w:r w:rsidRPr="00D260D6">
        <w:lastRenderedPageBreak/>
        <w:t xml:space="preserve">(diunduh dari </w:t>
      </w:r>
      <w:r w:rsidR="00A66C99">
        <w:fldChar w:fldCharType="begin"/>
      </w:r>
      <w:r w:rsidR="00A66C99">
        <w:instrText xml:space="preserve"> HYPERLINK "http://blog.uny.ac.id/sukirno/vclass/master-degree/managerial-accounting/" </w:instrText>
      </w:r>
      <w:r w:rsidR="00A66C99">
        <w:fldChar w:fldCharType="separate"/>
      </w:r>
      <w:r w:rsidR="00640065" w:rsidRPr="00F93EA5">
        <w:rPr>
          <w:rStyle w:val="Hyperlink"/>
        </w:rPr>
        <w:t>http://blog.uny.ac.id/sukirno/vclass/master-degree/managerial-accounting/</w:t>
      </w:r>
      <w:r w:rsidR="00A66C99">
        <w:rPr>
          <w:rStyle w:val="Hyperlink"/>
        </w:rPr>
        <w:fldChar w:fldCharType="end"/>
      </w:r>
      <w:r w:rsidR="00640065">
        <w:rPr>
          <w:lang w:val="en-ID"/>
        </w:rPr>
        <w:t xml:space="preserve"> dan </w:t>
      </w:r>
      <w:proofErr w:type="spellStart"/>
      <w:r w:rsidR="00640065">
        <w:rPr>
          <w:lang w:val="en-ID"/>
        </w:rPr>
        <w:t>dapat</w:t>
      </w:r>
      <w:proofErr w:type="spellEnd"/>
      <w:r w:rsidR="00640065">
        <w:rPr>
          <w:lang w:val="en-ID"/>
        </w:rPr>
        <w:t xml:space="preserve"> </w:t>
      </w:r>
      <w:proofErr w:type="spellStart"/>
      <w:r w:rsidR="00640065">
        <w:rPr>
          <w:lang w:val="en-ID"/>
        </w:rPr>
        <w:t>dilacak</w:t>
      </w:r>
      <w:proofErr w:type="spellEnd"/>
      <w:r w:rsidR="00640065">
        <w:rPr>
          <w:lang w:val="en-ID"/>
        </w:rPr>
        <w:t xml:space="preserve"> </w:t>
      </w:r>
      <w:proofErr w:type="spellStart"/>
      <w:r w:rsidR="00640065">
        <w:rPr>
          <w:lang w:val="en-ID"/>
        </w:rPr>
        <w:t>dengan</w:t>
      </w:r>
      <w:proofErr w:type="spellEnd"/>
      <w:r w:rsidR="00640065">
        <w:rPr>
          <w:lang w:val="en-ID"/>
        </w:rPr>
        <w:t xml:space="preserve"> </w:t>
      </w:r>
      <w:r w:rsidR="00640065" w:rsidRPr="00541F53">
        <w:rPr>
          <w:b/>
          <w:bCs/>
          <w:lang w:val="en-ID"/>
        </w:rPr>
        <w:t>software publish or perish</w:t>
      </w:r>
      <w:r w:rsidRPr="00D260D6">
        <w:t>)</w:t>
      </w:r>
    </w:p>
    <w:p w14:paraId="71000F0B" w14:textId="77777777" w:rsidR="00365C42" w:rsidRPr="00365C42" w:rsidRDefault="00365C42">
      <w:pPr>
        <w:rPr>
          <w:rFonts w:ascii="Arial Narrow" w:eastAsia="Arial Narrow" w:hAnsi="Arial Narrow" w:cs="Arial Narrow"/>
          <w:lang w:val="id-ID"/>
        </w:rPr>
      </w:pPr>
    </w:p>
    <w:p w14:paraId="2A4E1C6C" w14:textId="77777777" w:rsidR="00EA49AC" w:rsidRDefault="00CF3C5D">
      <w:p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KOMPONEN PENILAIAN</w:t>
      </w:r>
    </w:p>
    <w:tbl>
      <w:tblPr>
        <w:tblStyle w:val="a0"/>
        <w:tblW w:w="12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442"/>
        <w:gridCol w:w="5442"/>
      </w:tblGrid>
      <w:tr w:rsidR="00EA49AC" w14:paraId="41B7339B" w14:textId="77777777">
        <w:tc>
          <w:tcPr>
            <w:tcW w:w="1276" w:type="dxa"/>
          </w:tcPr>
          <w:p w14:paraId="11A525CB" w14:textId="77777777" w:rsidR="00EA49AC" w:rsidRDefault="00CF3C5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No</w:t>
            </w:r>
          </w:p>
        </w:tc>
        <w:tc>
          <w:tcPr>
            <w:tcW w:w="5442" w:type="dxa"/>
          </w:tcPr>
          <w:p w14:paraId="07A785F6" w14:textId="77777777" w:rsidR="00EA49AC" w:rsidRDefault="00CF3C5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Komponen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5442" w:type="dxa"/>
          </w:tcPr>
          <w:p w14:paraId="40CADE19" w14:textId="77777777" w:rsidR="00EA49AC" w:rsidRDefault="00CF3C5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Bobot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(%)</w:t>
            </w:r>
          </w:p>
        </w:tc>
      </w:tr>
      <w:tr w:rsidR="00EA49AC" w14:paraId="0BE098A8" w14:textId="77777777">
        <w:tc>
          <w:tcPr>
            <w:tcW w:w="1276" w:type="dxa"/>
          </w:tcPr>
          <w:p w14:paraId="2C43A8F0" w14:textId="77777777" w:rsidR="00EA49AC" w:rsidRDefault="00EA49AC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442" w:type="dxa"/>
          </w:tcPr>
          <w:p w14:paraId="3AB4BAAE" w14:textId="77777777" w:rsidR="00EA49AC" w:rsidRDefault="00CF3C5D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Partisipasi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5442" w:type="dxa"/>
          </w:tcPr>
          <w:p w14:paraId="426A8798" w14:textId="77777777" w:rsidR="00EA49AC" w:rsidRDefault="00CF3C5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15%</w:t>
            </w:r>
          </w:p>
        </w:tc>
      </w:tr>
      <w:tr w:rsidR="00EA49AC" w14:paraId="74A0EB5F" w14:textId="77777777">
        <w:tc>
          <w:tcPr>
            <w:tcW w:w="1276" w:type="dxa"/>
          </w:tcPr>
          <w:p w14:paraId="424D0E9E" w14:textId="77777777" w:rsidR="00EA49AC" w:rsidRDefault="00EA49AC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442" w:type="dxa"/>
          </w:tcPr>
          <w:p w14:paraId="213695F9" w14:textId="77777777" w:rsidR="00EA49AC" w:rsidRDefault="00CF3C5D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Presentasi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5442" w:type="dxa"/>
          </w:tcPr>
          <w:p w14:paraId="46242B60" w14:textId="77777777" w:rsidR="00EA49AC" w:rsidRDefault="00CF3C5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15%</w:t>
            </w:r>
          </w:p>
        </w:tc>
      </w:tr>
      <w:tr w:rsidR="00EA49AC" w14:paraId="62048E1C" w14:textId="77777777">
        <w:tc>
          <w:tcPr>
            <w:tcW w:w="1276" w:type="dxa"/>
          </w:tcPr>
          <w:p w14:paraId="5C72921F" w14:textId="77777777" w:rsidR="00EA49AC" w:rsidRDefault="00EA49AC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442" w:type="dxa"/>
          </w:tcPr>
          <w:p w14:paraId="325C9DC8" w14:textId="77777777" w:rsidR="00EA49AC" w:rsidRDefault="00CF3C5D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Tugas (summary/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kajian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pustaka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relavan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artikel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5442" w:type="dxa"/>
          </w:tcPr>
          <w:p w14:paraId="261DD86D" w14:textId="77777777" w:rsidR="00EA49AC" w:rsidRDefault="00CF3C5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20%</w:t>
            </w:r>
          </w:p>
        </w:tc>
      </w:tr>
      <w:tr w:rsidR="00EA49AC" w14:paraId="6B22B66A" w14:textId="77777777">
        <w:tc>
          <w:tcPr>
            <w:tcW w:w="1276" w:type="dxa"/>
          </w:tcPr>
          <w:p w14:paraId="63CCB112" w14:textId="77777777" w:rsidR="00EA49AC" w:rsidRDefault="00EA49AC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442" w:type="dxa"/>
          </w:tcPr>
          <w:p w14:paraId="3EB1E4C5" w14:textId="4CCBD320" w:rsidR="00EA49AC" w:rsidRPr="00B67BA2" w:rsidRDefault="00CF3C5D" w:rsidP="00085528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Ujian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B67BA2">
              <w:rPr>
                <w:rFonts w:ascii="Arial Narrow" w:eastAsia="Arial Narrow" w:hAnsi="Arial Narrow" w:cs="Arial Narrow"/>
                <w:sz w:val="24"/>
                <w:szCs w:val="24"/>
              </w:rPr>
              <w:t>Tengah Semester (</w:t>
            </w:r>
            <w:r w:rsidR="00085528">
              <w:rPr>
                <w:rFonts w:ascii="Arial Narrow" w:eastAsia="Arial Narrow" w:hAnsi="Arial Narrow" w:cs="Arial Narrow"/>
                <w:sz w:val="24"/>
                <w:szCs w:val="24"/>
                <w:lang w:val="id-ID"/>
              </w:rPr>
              <w:t>Subkompetensi</w:t>
            </w:r>
            <w:r w:rsidR="00B67BA2">
              <w:rPr>
                <w:rFonts w:ascii="Arial Narrow" w:eastAsia="Arial Narrow" w:hAnsi="Arial Narrow" w:cs="Arial Narrow"/>
                <w:sz w:val="24"/>
                <w:szCs w:val="24"/>
                <w:lang w:val="en-ID"/>
              </w:rPr>
              <w:t>)</w:t>
            </w:r>
          </w:p>
        </w:tc>
        <w:tc>
          <w:tcPr>
            <w:tcW w:w="5442" w:type="dxa"/>
          </w:tcPr>
          <w:p w14:paraId="49A21C41" w14:textId="77777777" w:rsidR="00EA49AC" w:rsidRDefault="00CF3C5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25%</w:t>
            </w:r>
          </w:p>
        </w:tc>
      </w:tr>
      <w:tr w:rsidR="00EA49AC" w14:paraId="1B872A33" w14:textId="77777777">
        <w:tc>
          <w:tcPr>
            <w:tcW w:w="1276" w:type="dxa"/>
          </w:tcPr>
          <w:p w14:paraId="2DBCE151" w14:textId="77777777" w:rsidR="00EA49AC" w:rsidRDefault="00EA49AC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442" w:type="dxa"/>
          </w:tcPr>
          <w:p w14:paraId="421CADFA" w14:textId="77777777" w:rsidR="00EA49AC" w:rsidRPr="002829B5" w:rsidRDefault="00CF3C5D" w:rsidP="002829B5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Ujian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 w:rsidR="002829B5">
              <w:rPr>
                <w:rFonts w:ascii="Arial Narrow" w:eastAsia="Arial Narrow" w:hAnsi="Arial Narrow" w:cs="Arial Narrow"/>
                <w:sz w:val="24"/>
                <w:szCs w:val="24"/>
                <w:lang w:val="id-ID"/>
              </w:rPr>
              <w:t>Akhir Semester</w:t>
            </w:r>
          </w:p>
        </w:tc>
        <w:tc>
          <w:tcPr>
            <w:tcW w:w="5442" w:type="dxa"/>
          </w:tcPr>
          <w:p w14:paraId="614B2995" w14:textId="77777777" w:rsidR="00EA49AC" w:rsidRDefault="00CF3C5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25%</w:t>
            </w:r>
          </w:p>
        </w:tc>
      </w:tr>
      <w:tr w:rsidR="00EA49AC" w14:paraId="2773794E" w14:textId="77777777">
        <w:tc>
          <w:tcPr>
            <w:tcW w:w="6718" w:type="dxa"/>
            <w:gridSpan w:val="2"/>
          </w:tcPr>
          <w:p w14:paraId="2B6A9DAD" w14:textId="77777777" w:rsidR="00EA49AC" w:rsidRDefault="00CF3C5D">
            <w:pPr>
              <w:spacing w:line="360" w:lineRule="auto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Total</w:t>
            </w:r>
          </w:p>
        </w:tc>
        <w:tc>
          <w:tcPr>
            <w:tcW w:w="5442" w:type="dxa"/>
          </w:tcPr>
          <w:p w14:paraId="342FC3B3" w14:textId="77777777" w:rsidR="00EA49AC" w:rsidRDefault="00CF3C5D">
            <w:pPr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100%</w:t>
            </w:r>
          </w:p>
        </w:tc>
      </w:tr>
    </w:tbl>
    <w:p w14:paraId="14015F8F" w14:textId="77777777" w:rsidR="00EA49AC" w:rsidRDefault="00EA49AC">
      <w:p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13BBA999" w14:textId="6D57D256" w:rsidR="00EA49AC" w:rsidRDefault="00CF3C5D">
      <w:p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Mengetahui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Yogyakarta, </w:t>
      </w:r>
      <w:r w:rsidR="001E4789">
        <w:rPr>
          <w:rFonts w:ascii="Arial Narrow" w:eastAsia="Arial Narrow" w:hAnsi="Arial Narrow" w:cs="Arial Narrow"/>
          <w:sz w:val="24"/>
          <w:szCs w:val="24"/>
        </w:rPr>
        <w:t>5</w:t>
      </w:r>
      <w:r w:rsidR="001A4C45">
        <w:rPr>
          <w:rFonts w:ascii="Arial Narrow" w:eastAsia="Arial Narrow" w:hAnsi="Arial Narrow" w:cs="Arial Narrow"/>
          <w:sz w:val="24"/>
          <w:szCs w:val="24"/>
        </w:rPr>
        <w:t xml:space="preserve"> Januari</w:t>
      </w:r>
      <w:r>
        <w:rPr>
          <w:rFonts w:ascii="Arial Narrow" w:eastAsia="Arial Narrow" w:hAnsi="Arial Narrow" w:cs="Arial Narrow"/>
          <w:sz w:val="24"/>
          <w:szCs w:val="24"/>
        </w:rPr>
        <w:t xml:space="preserve"> 20</w:t>
      </w:r>
      <w:r w:rsidR="00F716B8">
        <w:rPr>
          <w:rFonts w:ascii="Arial Narrow" w:eastAsia="Arial Narrow" w:hAnsi="Arial Narrow" w:cs="Arial Narrow"/>
          <w:sz w:val="24"/>
          <w:szCs w:val="24"/>
        </w:rPr>
        <w:t>2</w:t>
      </w:r>
      <w:r w:rsidR="001E4789">
        <w:rPr>
          <w:rFonts w:ascii="Arial Narrow" w:eastAsia="Arial Narrow" w:hAnsi="Arial Narrow" w:cs="Arial Narrow"/>
          <w:sz w:val="24"/>
          <w:szCs w:val="24"/>
        </w:rPr>
        <w:t>4</w:t>
      </w:r>
    </w:p>
    <w:p w14:paraId="21661259" w14:textId="77777777" w:rsidR="00EA49AC" w:rsidRDefault="00D260D6">
      <w:p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jdgxs" w:colFirst="0" w:colLast="0"/>
      <w:bookmarkEnd w:id="0"/>
      <w:r>
        <w:rPr>
          <w:noProof/>
          <w:lang w:val="en-US" w:eastAsia="en-US"/>
        </w:rPr>
        <w:drawing>
          <wp:anchor distT="0" distB="0" distL="0" distR="0" simplePos="0" relativeHeight="251658240" behindDoc="1" locked="0" layoutInCell="1" hidden="0" allowOverlap="1" wp14:anchorId="03F7718E" wp14:editId="46CBF481">
            <wp:simplePos x="0" y="0"/>
            <wp:positionH relativeFrom="margin">
              <wp:posOffset>4286885</wp:posOffset>
            </wp:positionH>
            <wp:positionV relativeFrom="paragraph">
              <wp:posOffset>153670</wp:posOffset>
            </wp:positionV>
            <wp:extent cx="695325" cy="885825"/>
            <wp:effectExtent l="0" t="0" r="9525" b="9525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C5D">
        <w:rPr>
          <w:rFonts w:ascii="Arial Narrow" w:eastAsia="Arial Narrow" w:hAnsi="Arial Narrow" w:cs="Arial Narrow"/>
          <w:sz w:val="24"/>
          <w:szCs w:val="24"/>
        </w:rPr>
        <w:t>Kajur /</w:t>
      </w:r>
      <w:proofErr w:type="spellStart"/>
      <w:r w:rsidR="00CF3C5D">
        <w:rPr>
          <w:rFonts w:ascii="Arial Narrow" w:eastAsia="Arial Narrow" w:hAnsi="Arial Narrow" w:cs="Arial Narrow"/>
          <w:sz w:val="24"/>
          <w:szCs w:val="24"/>
        </w:rPr>
        <w:t>Kaprodi</w:t>
      </w:r>
      <w:proofErr w:type="spellEnd"/>
      <w:r w:rsidR="00CF3C5D">
        <w:rPr>
          <w:rFonts w:ascii="Arial Narrow" w:eastAsia="Arial Narrow" w:hAnsi="Arial Narrow" w:cs="Arial Narrow"/>
          <w:sz w:val="24"/>
          <w:szCs w:val="24"/>
        </w:rPr>
        <w:t>,</w:t>
      </w:r>
      <w:r w:rsidR="00CF3C5D">
        <w:rPr>
          <w:rFonts w:ascii="Arial Narrow" w:eastAsia="Arial Narrow" w:hAnsi="Arial Narrow" w:cs="Arial Narrow"/>
          <w:sz w:val="24"/>
          <w:szCs w:val="24"/>
        </w:rPr>
        <w:tab/>
      </w:r>
      <w:r w:rsidR="00CF3C5D">
        <w:rPr>
          <w:rFonts w:ascii="Arial Narrow" w:eastAsia="Arial Narrow" w:hAnsi="Arial Narrow" w:cs="Arial Narrow"/>
          <w:sz w:val="24"/>
          <w:szCs w:val="24"/>
        </w:rPr>
        <w:tab/>
      </w:r>
      <w:r w:rsidR="00CF3C5D">
        <w:rPr>
          <w:rFonts w:ascii="Arial Narrow" w:eastAsia="Arial Narrow" w:hAnsi="Arial Narrow" w:cs="Arial Narrow"/>
          <w:sz w:val="24"/>
          <w:szCs w:val="24"/>
        </w:rPr>
        <w:tab/>
      </w:r>
      <w:r w:rsidR="00CF3C5D">
        <w:rPr>
          <w:rFonts w:ascii="Arial Narrow" w:eastAsia="Arial Narrow" w:hAnsi="Arial Narrow" w:cs="Arial Narrow"/>
          <w:sz w:val="24"/>
          <w:szCs w:val="24"/>
        </w:rPr>
        <w:tab/>
      </w:r>
      <w:r w:rsidR="00CF3C5D">
        <w:rPr>
          <w:rFonts w:ascii="Arial Narrow" w:eastAsia="Arial Narrow" w:hAnsi="Arial Narrow" w:cs="Arial Narrow"/>
          <w:sz w:val="24"/>
          <w:szCs w:val="24"/>
        </w:rPr>
        <w:tab/>
      </w:r>
      <w:r w:rsidR="00CF3C5D">
        <w:rPr>
          <w:rFonts w:ascii="Arial Narrow" w:eastAsia="Arial Narrow" w:hAnsi="Arial Narrow" w:cs="Arial Narrow"/>
          <w:sz w:val="24"/>
          <w:szCs w:val="24"/>
        </w:rPr>
        <w:tab/>
      </w:r>
      <w:r w:rsidR="00CF3C5D">
        <w:rPr>
          <w:rFonts w:ascii="Arial Narrow" w:eastAsia="Arial Narrow" w:hAnsi="Arial Narrow" w:cs="Arial Narrow"/>
          <w:sz w:val="24"/>
          <w:szCs w:val="24"/>
        </w:rPr>
        <w:tab/>
      </w:r>
      <w:r w:rsidR="00CF3C5D">
        <w:rPr>
          <w:rFonts w:ascii="Arial Narrow" w:eastAsia="Arial Narrow" w:hAnsi="Arial Narrow" w:cs="Arial Narrow"/>
          <w:sz w:val="24"/>
          <w:szCs w:val="24"/>
        </w:rPr>
        <w:tab/>
        <w:t xml:space="preserve">Dosen </w:t>
      </w:r>
      <w:proofErr w:type="spellStart"/>
      <w:r w:rsidR="00CF3C5D">
        <w:rPr>
          <w:rFonts w:ascii="Arial Narrow" w:eastAsia="Arial Narrow" w:hAnsi="Arial Narrow" w:cs="Arial Narrow"/>
          <w:sz w:val="24"/>
          <w:szCs w:val="24"/>
        </w:rPr>
        <w:t>Pengampu</w:t>
      </w:r>
      <w:proofErr w:type="spellEnd"/>
      <w:r w:rsidR="00CF3C5D">
        <w:rPr>
          <w:rFonts w:ascii="Arial Narrow" w:eastAsia="Arial Narrow" w:hAnsi="Arial Narrow" w:cs="Arial Narrow"/>
          <w:sz w:val="24"/>
          <w:szCs w:val="24"/>
        </w:rPr>
        <w:t>,</w:t>
      </w:r>
    </w:p>
    <w:p w14:paraId="63DAA9E9" w14:textId="77777777" w:rsidR="00EA49AC" w:rsidRDefault="00EA49AC" w:rsidP="00D260D6">
      <w:pPr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6B537B8" w14:textId="0A0B1AF5" w:rsidR="00EA49AC" w:rsidRDefault="007F03EC">
      <w:pPr>
        <w:spacing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ttd</w:t>
      </w:r>
      <w:proofErr w:type="spellEnd"/>
    </w:p>
    <w:p w14:paraId="01277327" w14:textId="77777777" w:rsidR="00EA49AC" w:rsidRDefault="009215B3">
      <w:pPr>
        <w:rPr>
          <w:sz w:val="24"/>
          <w:szCs w:val="24"/>
        </w:rPr>
      </w:pPr>
      <w:proofErr w:type="spellStart"/>
      <w:r>
        <w:rPr>
          <w:sz w:val="24"/>
          <w:szCs w:val="24"/>
          <w:lang w:val="en-ID"/>
        </w:rPr>
        <w:t>Dr.</w:t>
      </w:r>
      <w:proofErr w:type="spellEnd"/>
      <w:r>
        <w:rPr>
          <w:sz w:val="24"/>
          <w:szCs w:val="24"/>
          <w:lang w:val="en-ID"/>
        </w:rPr>
        <w:t xml:space="preserve"> </w:t>
      </w:r>
      <w:r w:rsidR="00C621FA">
        <w:rPr>
          <w:sz w:val="24"/>
          <w:szCs w:val="24"/>
          <w:lang w:val="en-ID"/>
        </w:rPr>
        <w:t>Mai</w:t>
      </w:r>
      <w:r w:rsidR="00F716B8">
        <w:rPr>
          <w:sz w:val="24"/>
          <w:szCs w:val="24"/>
          <w:lang w:val="en-ID"/>
        </w:rPr>
        <w:t>mun Soleh</w:t>
      </w:r>
      <w:r w:rsidR="00D260D6">
        <w:rPr>
          <w:sz w:val="24"/>
          <w:szCs w:val="24"/>
          <w:lang w:val="id-ID"/>
        </w:rPr>
        <w:t>, M.</w:t>
      </w:r>
      <w:r w:rsidR="00F716B8">
        <w:rPr>
          <w:sz w:val="24"/>
          <w:szCs w:val="24"/>
          <w:lang w:val="en-ID"/>
        </w:rPr>
        <w:t>Si</w:t>
      </w:r>
      <w:r w:rsidR="00D260D6">
        <w:rPr>
          <w:sz w:val="24"/>
          <w:szCs w:val="24"/>
          <w:lang w:val="id-ID"/>
        </w:rPr>
        <w:t>.</w:t>
      </w:r>
      <w:r w:rsidR="00CF3C5D">
        <w:rPr>
          <w:sz w:val="24"/>
          <w:szCs w:val="24"/>
        </w:rPr>
        <w:tab/>
      </w:r>
      <w:r w:rsidR="00CF3C5D">
        <w:rPr>
          <w:sz w:val="24"/>
          <w:szCs w:val="24"/>
        </w:rPr>
        <w:tab/>
      </w:r>
      <w:r w:rsidR="00CF3C5D">
        <w:rPr>
          <w:sz w:val="24"/>
          <w:szCs w:val="24"/>
        </w:rPr>
        <w:tab/>
      </w:r>
      <w:r w:rsidR="00CF3C5D">
        <w:rPr>
          <w:sz w:val="24"/>
          <w:szCs w:val="24"/>
        </w:rPr>
        <w:tab/>
      </w:r>
      <w:r w:rsidR="00CF3C5D">
        <w:rPr>
          <w:sz w:val="24"/>
          <w:szCs w:val="24"/>
        </w:rPr>
        <w:tab/>
      </w:r>
      <w:r w:rsidR="00D260D6">
        <w:rPr>
          <w:sz w:val="24"/>
          <w:szCs w:val="24"/>
          <w:lang w:val="id-ID"/>
        </w:rPr>
        <w:tab/>
      </w:r>
      <w:r w:rsidR="00CF3C5D">
        <w:rPr>
          <w:sz w:val="24"/>
          <w:szCs w:val="24"/>
        </w:rPr>
        <w:t xml:space="preserve">Prof. Sukirno, </w:t>
      </w:r>
      <w:proofErr w:type="spellStart"/>
      <w:r w:rsidR="00CF3C5D">
        <w:rPr>
          <w:sz w:val="24"/>
          <w:szCs w:val="24"/>
        </w:rPr>
        <w:t>M.Si</w:t>
      </w:r>
      <w:proofErr w:type="spellEnd"/>
      <w:r w:rsidR="00CF3C5D">
        <w:rPr>
          <w:sz w:val="24"/>
          <w:szCs w:val="24"/>
        </w:rPr>
        <w:t xml:space="preserve">., Ph.D. </w:t>
      </w:r>
    </w:p>
    <w:p w14:paraId="61794275" w14:textId="22F3512B" w:rsidR="00EA49AC" w:rsidRDefault="00CF3C5D">
      <w:r>
        <w:rPr>
          <w:sz w:val="24"/>
          <w:szCs w:val="24"/>
        </w:rPr>
        <w:t xml:space="preserve">NIP. </w:t>
      </w:r>
      <w:r w:rsidR="007F03EC">
        <w:rPr>
          <w:rFonts w:ascii="Arial" w:hAnsi="Arial" w:cs="Arial"/>
          <w:color w:val="4D5156"/>
          <w:sz w:val="21"/>
          <w:szCs w:val="21"/>
          <w:shd w:val="clear" w:color="auto" w:fill="FFFFFF"/>
        </w:rPr>
        <w:t>196606062005011002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NIP. 19690414 199403 1 002 </w:t>
      </w:r>
    </w:p>
    <w:sectPr w:rsidR="00EA49AC" w:rsidSect="006A66BA">
      <w:footerReference w:type="default" r:id="rId8"/>
      <w:pgSz w:w="16839" w:h="11907" w:orient="landscape" w:code="9"/>
      <w:pgMar w:top="1134" w:right="1269" w:bottom="1560" w:left="794" w:header="0" w:footer="85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3967" w14:textId="77777777" w:rsidR="00A66C99" w:rsidRDefault="00A66C99">
      <w:r>
        <w:separator/>
      </w:r>
    </w:p>
  </w:endnote>
  <w:endnote w:type="continuationSeparator" w:id="0">
    <w:p w14:paraId="0848AFF5" w14:textId="77777777" w:rsidR="00A66C99" w:rsidRDefault="00A6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F935" w14:textId="77777777" w:rsidR="00F716B8" w:rsidRDefault="00F716B8" w:rsidP="00862E90">
    <w:pPr>
      <w:tabs>
        <w:tab w:val="center" w:pos="4320"/>
        <w:tab w:val="right" w:pos="8640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5288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DC30" w14:textId="77777777" w:rsidR="00A66C99" w:rsidRDefault="00A66C99">
      <w:r>
        <w:separator/>
      </w:r>
    </w:p>
  </w:footnote>
  <w:footnote w:type="continuationSeparator" w:id="0">
    <w:p w14:paraId="76330304" w14:textId="77777777" w:rsidR="00A66C99" w:rsidRDefault="00A6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2656"/>
    <w:multiLevelType w:val="hybridMultilevel"/>
    <w:tmpl w:val="D27C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1DF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D9B26EE"/>
    <w:multiLevelType w:val="hybridMultilevel"/>
    <w:tmpl w:val="697AEE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80CDC"/>
    <w:multiLevelType w:val="multilevel"/>
    <w:tmpl w:val="42F05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4582089"/>
    <w:multiLevelType w:val="multilevel"/>
    <w:tmpl w:val="B25046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D36AEC"/>
    <w:multiLevelType w:val="multilevel"/>
    <w:tmpl w:val="42F05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24F786C"/>
    <w:multiLevelType w:val="multilevel"/>
    <w:tmpl w:val="3B24374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5E7396C"/>
    <w:multiLevelType w:val="multilevel"/>
    <w:tmpl w:val="42AC16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8BA180A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9E90CE5"/>
    <w:multiLevelType w:val="hybridMultilevel"/>
    <w:tmpl w:val="C2E8C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3749D"/>
    <w:multiLevelType w:val="multilevel"/>
    <w:tmpl w:val="1ABCE79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E9E1385"/>
    <w:multiLevelType w:val="multilevel"/>
    <w:tmpl w:val="0FBE41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EC91A84"/>
    <w:multiLevelType w:val="multilevel"/>
    <w:tmpl w:val="27789E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1C0442E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4611C2A"/>
    <w:multiLevelType w:val="multilevel"/>
    <w:tmpl w:val="629EB56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5C051D8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7C83219"/>
    <w:multiLevelType w:val="multilevel"/>
    <w:tmpl w:val="4EB27C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BBE2DD2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4C62D43"/>
    <w:multiLevelType w:val="multilevel"/>
    <w:tmpl w:val="AA38C4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5C843EB"/>
    <w:multiLevelType w:val="multilevel"/>
    <w:tmpl w:val="AC1AD32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9436471"/>
    <w:multiLevelType w:val="multilevel"/>
    <w:tmpl w:val="3662C4C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CEC3A88"/>
    <w:multiLevelType w:val="multilevel"/>
    <w:tmpl w:val="5086AA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EAC5F96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ED75C5D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4F09458A"/>
    <w:multiLevelType w:val="multilevel"/>
    <w:tmpl w:val="03C85A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5066316B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2F54C4E"/>
    <w:multiLevelType w:val="hybridMultilevel"/>
    <w:tmpl w:val="1AB4A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D5A"/>
    <w:multiLevelType w:val="multilevel"/>
    <w:tmpl w:val="C0A072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6210A94"/>
    <w:multiLevelType w:val="multilevel"/>
    <w:tmpl w:val="27789E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5A5C3D97"/>
    <w:multiLevelType w:val="multilevel"/>
    <w:tmpl w:val="091CD922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5BAD4C1E"/>
    <w:multiLevelType w:val="multilevel"/>
    <w:tmpl w:val="E33C25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7184DCE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B817A35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6F1C59F9"/>
    <w:multiLevelType w:val="multilevel"/>
    <w:tmpl w:val="C3B48308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  <w:vertAlign w:val="baseline"/>
      </w:rPr>
    </w:lvl>
  </w:abstractNum>
  <w:abstractNum w:abstractNumId="34" w15:restartNumberingAfterBreak="0">
    <w:nsid w:val="71A05311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2754AE4"/>
    <w:multiLevelType w:val="hybridMultilevel"/>
    <w:tmpl w:val="9050DFD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23288"/>
    <w:multiLevelType w:val="multilevel"/>
    <w:tmpl w:val="A8646F6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7" w15:restartNumberingAfterBreak="0">
    <w:nsid w:val="78DB4EC5"/>
    <w:multiLevelType w:val="multilevel"/>
    <w:tmpl w:val="327871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7ADF04EC"/>
    <w:multiLevelType w:val="multilevel"/>
    <w:tmpl w:val="27789E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B1652EC"/>
    <w:multiLevelType w:val="multilevel"/>
    <w:tmpl w:val="CD9688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7CD2626E"/>
    <w:multiLevelType w:val="multilevel"/>
    <w:tmpl w:val="A0BAB1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7CF223BB"/>
    <w:multiLevelType w:val="multilevel"/>
    <w:tmpl w:val="F86623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2" w15:restartNumberingAfterBreak="0">
    <w:nsid w:val="7EA0100D"/>
    <w:multiLevelType w:val="multilevel"/>
    <w:tmpl w:val="EA7428E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10"/>
  </w:num>
  <w:num w:numId="5">
    <w:abstractNumId w:val="20"/>
  </w:num>
  <w:num w:numId="6">
    <w:abstractNumId w:val="17"/>
  </w:num>
  <w:num w:numId="7">
    <w:abstractNumId w:val="14"/>
  </w:num>
  <w:num w:numId="8">
    <w:abstractNumId w:val="5"/>
  </w:num>
  <w:num w:numId="9">
    <w:abstractNumId w:val="36"/>
  </w:num>
  <w:num w:numId="10">
    <w:abstractNumId w:val="6"/>
  </w:num>
  <w:num w:numId="11">
    <w:abstractNumId w:val="29"/>
  </w:num>
  <w:num w:numId="12">
    <w:abstractNumId w:val="27"/>
  </w:num>
  <w:num w:numId="13">
    <w:abstractNumId w:val="37"/>
  </w:num>
  <w:num w:numId="14">
    <w:abstractNumId w:val="28"/>
  </w:num>
  <w:num w:numId="15">
    <w:abstractNumId w:val="33"/>
  </w:num>
  <w:num w:numId="16">
    <w:abstractNumId w:val="11"/>
  </w:num>
  <w:num w:numId="17">
    <w:abstractNumId w:val="40"/>
  </w:num>
  <w:num w:numId="18">
    <w:abstractNumId w:val="39"/>
  </w:num>
  <w:num w:numId="19">
    <w:abstractNumId w:val="7"/>
  </w:num>
  <w:num w:numId="20">
    <w:abstractNumId w:val="19"/>
  </w:num>
  <w:num w:numId="21">
    <w:abstractNumId w:val="42"/>
  </w:num>
  <w:num w:numId="22">
    <w:abstractNumId w:val="30"/>
  </w:num>
  <w:num w:numId="23">
    <w:abstractNumId w:val="4"/>
  </w:num>
  <w:num w:numId="24">
    <w:abstractNumId w:val="38"/>
  </w:num>
  <w:num w:numId="25">
    <w:abstractNumId w:val="12"/>
  </w:num>
  <w:num w:numId="26">
    <w:abstractNumId w:val="8"/>
  </w:num>
  <w:num w:numId="27">
    <w:abstractNumId w:val="22"/>
  </w:num>
  <w:num w:numId="28">
    <w:abstractNumId w:val="31"/>
  </w:num>
  <w:num w:numId="29">
    <w:abstractNumId w:val="32"/>
  </w:num>
  <w:num w:numId="30">
    <w:abstractNumId w:val="25"/>
  </w:num>
  <w:num w:numId="31">
    <w:abstractNumId w:val="15"/>
  </w:num>
  <w:num w:numId="32">
    <w:abstractNumId w:val="34"/>
  </w:num>
  <w:num w:numId="33">
    <w:abstractNumId w:val="13"/>
  </w:num>
  <w:num w:numId="34">
    <w:abstractNumId w:val="41"/>
  </w:num>
  <w:num w:numId="35">
    <w:abstractNumId w:val="1"/>
  </w:num>
  <w:num w:numId="36">
    <w:abstractNumId w:val="23"/>
  </w:num>
  <w:num w:numId="37">
    <w:abstractNumId w:val="18"/>
  </w:num>
  <w:num w:numId="38">
    <w:abstractNumId w:val="26"/>
  </w:num>
  <w:num w:numId="39">
    <w:abstractNumId w:val="0"/>
  </w:num>
  <w:num w:numId="40">
    <w:abstractNumId w:val="9"/>
  </w:num>
  <w:num w:numId="41">
    <w:abstractNumId w:val="2"/>
  </w:num>
  <w:num w:numId="42">
    <w:abstractNumId w:val="35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AC"/>
    <w:rsid w:val="00004D5D"/>
    <w:rsid w:val="00031FB1"/>
    <w:rsid w:val="000551A7"/>
    <w:rsid w:val="00084BD5"/>
    <w:rsid w:val="00085528"/>
    <w:rsid w:val="00125ACF"/>
    <w:rsid w:val="001A4C45"/>
    <w:rsid w:val="001C76CE"/>
    <w:rsid w:val="001E4789"/>
    <w:rsid w:val="002021FB"/>
    <w:rsid w:val="00211B1B"/>
    <w:rsid w:val="00257DCA"/>
    <w:rsid w:val="002829B5"/>
    <w:rsid w:val="002A5C9D"/>
    <w:rsid w:val="002B1A3A"/>
    <w:rsid w:val="002B66CB"/>
    <w:rsid w:val="002D4AD2"/>
    <w:rsid w:val="002F52AF"/>
    <w:rsid w:val="00332F84"/>
    <w:rsid w:val="00347C7C"/>
    <w:rsid w:val="00365C42"/>
    <w:rsid w:val="003F30DF"/>
    <w:rsid w:val="00513E1F"/>
    <w:rsid w:val="00541F53"/>
    <w:rsid w:val="00584B87"/>
    <w:rsid w:val="00640065"/>
    <w:rsid w:val="00676023"/>
    <w:rsid w:val="00682B2A"/>
    <w:rsid w:val="006A66BA"/>
    <w:rsid w:val="006B2308"/>
    <w:rsid w:val="00752883"/>
    <w:rsid w:val="00761AD8"/>
    <w:rsid w:val="007D43B6"/>
    <w:rsid w:val="007F03EC"/>
    <w:rsid w:val="008111D4"/>
    <w:rsid w:val="00862E90"/>
    <w:rsid w:val="00872882"/>
    <w:rsid w:val="00885857"/>
    <w:rsid w:val="00906F90"/>
    <w:rsid w:val="00920ABA"/>
    <w:rsid w:val="009215B3"/>
    <w:rsid w:val="00933D5A"/>
    <w:rsid w:val="0095027A"/>
    <w:rsid w:val="00954C7C"/>
    <w:rsid w:val="009934A0"/>
    <w:rsid w:val="00A66C99"/>
    <w:rsid w:val="00AB4D1C"/>
    <w:rsid w:val="00B67BA2"/>
    <w:rsid w:val="00B81E82"/>
    <w:rsid w:val="00BB3416"/>
    <w:rsid w:val="00BC685A"/>
    <w:rsid w:val="00BE1EBE"/>
    <w:rsid w:val="00BF69B2"/>
    <w:rsid w:val="00C07DD3"/>
    <w:rsid w:val="00C157A3"/>
    <w:rsid w:val="00C15C56"/>
    <w:rsid w:val="00C57762"/>
    <w:rsid w:val="00C621FA"/>
    <w:rsid w:val="00C65107"/>
    <w:rsid w:val="00C820CC"/>
    <w:rsid w:val="00C83D1B"/>
    <w:rsid w:val="00CB4E1E"/>
    <w:rsid w:val="00CB71BF"/>
    <w:rsid w:val="00CE0513"/>
    <w:rsid w:val="00CF3C5D"/>
    <w:rsid w:val="00D260D6"/>
    <w:rsid w:val="00DB725A"/>
    <w:rsid w:val="00EA49AC"/>
    <w:rsid w:val="00F344BD"/>
    <w:rsid w:val="00F56090"/>
    <w:rsid w:val="00F716B8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F9452"/>
  <w15:docId w15:val="{07F14DDB-B8EF-4A25-851C-039A36B7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" w:eastAsia="id-ID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365C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65C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1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1D4"/>
  </w:style>
  <w:style w:type="paragraph" w:styleId="Footer">
    <w:name w:val="footer"/>
    <w:basedOn w:val="Normal"/>
    <w:link w:val="FooterChar"/>
    <w:uiPriority w:val="99"/>
    <w:unhideWhenUsed/>
    <w:rsid w:val="008111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1D4"/>
  </w:style>
  <w:style w:type="character" w:styleId="FollowedHyperlink">
    <w:name w:val="FollowedHyperlink"/>
    <w:basedOn w:val="DefaultParagraphFont"/>
    <w:uiPriority w:val="99"/>
    <w:semiHidden/>
    <w:unhideWhenUsed/>
    <w:rsid w:val="002F52AF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F5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2F52AF"/>
    <w:rPr>
      <w:color w:val="auto"/>
      <w:lang w:val="en-US" w:eastAsia="zh-CN"/>
    </w:rPr>
  </w:style>
  <w:style w:type="paragraph" w:styleId="ListParagraph">
    <w:name w:val="List Paragraph"/>
    <w:basedOn w:val="Normal"/>
    <w:uiPriority w:val="34"/>
    <w:qFormat/>
    <w:rsid w:val="0087288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Sukirno</cp:lastModifiedBy>
  <cp:revision>28</cp:revision>
  <dcterms:created xsi:type="dcterms:W3CDTF">2021-02-02T22:05:00Z</dcterms:created>
  <dcterms:modified xsi:type="dcterms:W3CDTF">2024-02-19T01:54:00Z</dcterms:modified>
</cp:coreProperties>
</file>